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4B7115" w:rsidP="004F4793">
      <w:pPr>
        <w:jc w:val="center"/>
        <w:rPr>
          <w:sz w:val="28"/>
          <w:szCs w:val="28"/>
        </w:rPr>
      </w:pPr>
      <w:r w:rsidRPr="006E1418">
        <w:rPr>
          <w:sz w:val="28"/>
          <w:szCs w:val="28"/>
        </w:rPr>
        <w:t>14 to 15 Maple Close</w:t>
      </w:r>
      <w:r>
        <w:rPr>
          <w:sz w:val="28"/>
          <w:szCs w:val="28"/>
        </w:rPr>
        <w:t xml:space="preserve">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w:t>
      </w:r>
      <w:r w:rsidR="00C22040">
        <w:rPr>
          <w:sz w:val="28"/>
          <w:szCs w:val="28"/>
        </w:rPr>
        <w:t>4</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as </w:t>
      </w:r>
      <w:r w:rsidR="004B7115" w:rsidRPr="006E1418">
        <w:t>14 to 15 Maple Close</w:t>
      </w:r>
      <w:r w:rsidR="004B7115" w:rsidRPr="004B7115">
        <w:t xml:space="preserve"> </w:t>
      </w:r>
      <w:r w:rsidR="00B67628">
        <w:t>(</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w:t>
      </w:r>
      <w:r w:rsidR="00EB5570" w:rsidRPr="006E1418">
        <w:t xml:space="preserve">or recurrence by limiting the use of the public right of way over the </w:t>
      </w:r>
      <w:r w:rsidR="00D76D42" w:rsidRPr="006E1418">
        <w:t xml:space="preserve">highway </w:t>
      </w:r>
      <w:r w:rsidR="004B7115" w:rsidRPr="006E1418">
        <w:rPr>
          <w:i/>
        </w:rPr>
        <w:t>24/7</w:t>
      </w:r>
      <w:r w:rsidR="00D76D42" w:rsidRPr="006E1418">
        <w:rPr>
          <w:i/>
        </w:rPr>
        <w:t xml:space="preserve"> </w:t>
      </w:r>
      <w:r w:rsidR="00EB5570" w:rsidRPr="006E1418">
        <w:rPr>
          <w:i/>
        </w:rPr>
        <w:t xml:space="preserve"> </w:t>
      </w:r>
      <w:r w:rsidR="00EB5570" w:rsidRPr="006E1418">
        <w:t>to thos</w:t>
      </w:r>
      <w:r w:rsidR="001B2108" w:rsidRPr="006E1418">
        <w:t>e persons named in paragraph 4 and 5</w:t>
      </w:r>
      <w:r w:rsidR="00EB5570" w:rsidRPr="006E1418">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 </w:t>
      </w:r>
      <w:r w:rsidR="004B7115" w:rsidRPr="006E1418">
        <w:rPr>
          <w:i/>
        </w:rPr>
        <w:t>24/7</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6E1418" w:rsidRPr="00D23C5E" w:rsidRDefault="006E1418" w:rsidP="006E1418">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5E6127" w:rsidRDefault="005E6127" w:rsidP="005E6127">
      <w:pPr>
        <w:pStyle w:val="ListParagraph"/>
        <w:rPr>
          <w:i/>
        </w:rPr>
      </w:pPr>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w:t>
      </w:r>
      <w:r w:rsidR="00C22040">
        <w:t>4</w:t>
      </w:r>
      <w:r>
        <w:t xml:space="preserve">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w:t>
      </w:r>
      <w:r w:rsidR="00C22040">
        <w:t>4</w:t>
      </w:r>
      <w:bookmarkStart w:id="0" w:name="_GoBack"/>
      <w:bookmarkEnd w:id="0"/>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1B2108"/>
    <w:rsid w:val="00296D7A"/>
    <w:rsid w:val="003E5AF9"/>
    <w:rsid w:val="00410A1B"/>
    <w:rsid w:val="00420B8C"/>
    <w:rsid w:val="004A65BF"/>
    <w:rsid w:val="004B7115"/>
    <w:rsid w:val="004F4793"/>
    <w:rsid w:val="005E6127"/>
    <w:rsid w:val="00634612"/>
    <w:rsid w:val="006E1418"/>
    <w:rsid w:val="00715046"/>
    <w:rsid w:val="00805B34"/>
    <w:rsid w:val="00827679"/>
    <w:rsid w:val="00A91B39"/>
    <w:rsid w:val="00B67628"/>
    <w:rsid w:val="00B95E90"/>
    <w:rsid w:val="00BD1A8E"/>
    <w:rsid w:val="00C22040"/>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E76E"/>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11</cp:revision>
  <dcterms:created xsi:type="dcterms:W3CDTF">2020-11-27T09:19:00Z</dcterms:created>
  <dcterms:modified xsi:type="dcterms:W3CDTF">2024-01-22T12:08:00Z</dcterms:modified>
</cp:coreProperties>
</file>