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2CC2C" w14:textId="77777777" w:rsidR="009F0696" w:rsidRDefault="008A2A1A" w:rsidP="009F0696">
      <w:bookmarkStart w:id="0" w:name="_GoBack"/>
      <w:bookmarkEnd w:id="0"/>
      <w:r w:rsidRPr="00F81C13">
        <w:rPr>
          <w:rFonts w:ascii="Arial" w:hAnsi="Arial" w:cs="Arial"/>
          <w:noProof/>
          <w:sz w:val="24"/>
          <w:szCs w:val="24"/>
          <w:lang w:eastAsia="en-GB"/>
        </w:rPr>
        <w:drawing>
          <wp:inline distT="0" distB="0" distL="0" distR="0" wp14:anchorId="7A01E430" wp14:editId="359BFE39">
            <wp:extent cx="944880" cy="1112520"/>
            <wp:effectExtent l="0" t="0" r="7620" b="0"/>
            <wp:docPr id="1" name="Picture 1" descr="Rochdale Borough Council crest" title="Rochdal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29891" name="Picture 1" descr="RochdaleBC_Port_Co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4880" cy="1112520"/>
                    </a:xfrm>
                    <a:prstGeom prst="rect">
                      <a:avLst/>
                    </a:prstGeom>
                    <a:noFill/>
                    <a:ln>
                      <a:noFill/>
                    </a:ln>
                  </pic:spPr>
                </pic:pic>
              </a:graphicData>
            </a:graphic>
          </wp:inline>
        </w:drawing>
      </w:r>
    </w:p>
    <w:tbl>
      <w:tblPr>
        <w:tblStyle w:val="TableGrid"/>
        <w:tblW w:w="0" w:type="auto"/>
        <w:tblLook w:val="0600" w:firstRow="0" w:lastRow="0" w:firstColumn="0" w:lastColumn="0" w:noHBand="1" w:noVBand="1"/>
        <w:tblCaption w:val="title of report"/>
      </w:tblPr>
      <w:tblGrid>
        <w:gridCol w:w="9016"/>
      </w:tblGrid>
      <w:tr w:rsidR="0035234E" w:rsidRPr="00F81C13" w14:paraId="7D3E9ACE" w14:textId="77777777" w:rsidTr="004E135D">
        <w:trPr>
          <w:tblHeader/>
        </w:trPr>
        <w:tc>
          <w:tcPr>
            <w:tcW w:w="9016" w:type="dxa"/>
          </w:tcPr>
          <w:p w14:paraId="570F7B2A" w14:textId="77777777" w:rsidR="0035234E" w:rsidRPr="00A733A3" w:rsidRDefault="0035234E" w:rsidP="004E135D">
            <w:pPr>
              <w:jc w:val="center"/>
              <w:rPr>
                <w:rFonts w:ascii="Arial" w:hAnsi="Arial" w:cs="Arial"/>
                <w:b/>
                <w:sz w:val="16"/>
                <w:szCs w:val="16"/>
              </w:rPr>
            </w:pPr>
          </w:p>
          <w:p w14:paraId="07F4E988" w14:textId="77777777" w:rsidR="0035234E" w:rsidRDefault="0035234E" w:rsidP="004E135D">
            <w:pPr>
              <w:rPr>
                <w:rFonts w:ascii="Arial" w:hAnsi="Arial" w:cs="Arial"/>
                <w:sz w:val="24"/>
                <w:szCs w:val="24"/>
              </w:rPr>
            </w:pPr>
            <w:r w:rsidRPr="0032533D">
              <w:rPr>
                <w:rFonts w:ascii="Arial" w:hAnsi="Arial" w:cs="Arial"/>
                <w:b/>
                <w:sz w:val="24"/>
                <w:szCs w:val="24"/>
              </w:rPr>
              <w:t xml:space="preserve">Proposal Title: </w:t>
            </w:r>
            <w:r>
              <w:rPr>
                <w:rFonts w:ascii="Arial" w:hAnsi="Arial" w:cs="Arial"/>
                <w:sz w:val="24"/>
                <w:szCs w:val="24"/>
              </w:rPr>
              <w:t>Specialist Health Improvement Service Budget Reduction</w:t>
            </w:r>
          </w:p>
          <w:p w14:paraId="59AFAFC4" w14:textId="77777777" w:rsidR="0035234E" w:rsidRPr="0032533D" w:rsidRDefault="0035234E" w:rsidP="004E135D">
            <w:pPr>
              <w:rPr>
                <w:rFonts w:ascii="Arial" w:hAnsi="Arial" w:cs="Arial"/>
                <w:b/>
                <w:sz w:val="24"/>
                <w:szCs w:val="24"/>
              </w:rPr>
            </w:pPr>
            <w:r w:rsidRPr="0032533D">
              <w:rPr>
                <w:rFonts w:ascii="Arial" w:hAnsi="Arial" w:cs="Arial"/>
                <w:b/>
                <w:sz w:val="24"/>
                <w:szCs w:val="24"/>
              </w:rPr>
              <w:t xml:space="preserve">Proposal Number: </w:t>
            </w:r>
            <w:r w:rsidRPr="0035234E">
              <w:rPr>
                <w:rFonts w:ascii="Arial" w:hAnsi="Arial" w:cs="Arial"/>
                <w:sz w:val="24"/>
                <w:szCs w:val="24"/>
              </w:rPr>
              <w:t>PHC</w:t>
            </w:r>
            <w:r w:rsidR="00F719B8">
              <w:rPr>
                <w:rFonts w:ascii="Arial" w:hAnsi="Arial" w:cs="Arial"/>
                <w:sz w:val="24"/>
                <w:szCs w:val="24"/>
              </w:rPr>
              <w:t>-2024-25-001</w:t>
            </w:r>
          </w:p>
          <w:p w14:paraId="43F6D63C" w14:textId="77777777" w:rsidR="0035234E" w:rsidRPr="0032533D" w:rsidRDefault="0035234E" w:rsidP="004E135D">
            <w:pPr>
              <w:rPr>
                <w:rFonts w:ascii="Arial" w:hAnsi="Arial" w:cs="Arial"/>
                <w:sz w:val="24"/>
                <w:szCs w:val="24"/>
              </w:rPr>
            </w:pPr>
            <w:r w:rsidRPr="0032533D">
              <w:rPr>
                <w:rFonts w:ascii="Arial" w:hAnsi="Arial" w:cs="Arial"/>
                <w:b/>
                <w:sz w:val="24"/>
                <w:szCs w:val="24"/>
              </w:rPr>
              <w:t xml:space="preserve">Proposal Type: </w:t>
            </w:r>
            <w:r>
              <w:rPr>
                <w:rFonts w:ascii="Arial" w:hAnsi="Arial" w:cs="Arial"/>
                <w:sz w:val="24"/>
                <w:szCs w:val="24"/>
              </w:rPr>
              <w:t>Service Delivery</w:t>
            </w:r>
          </w:p>
          <w:p w14:paraId="6F858214" w14:textId="77777777" w:rsidR="0035234E" w:rsidRPr="0032533D" w:rsidRDefault="0035234E" w:rsidP="004E135D">
            <w:pPr>
              <w:rPr>
                <w:rFonts w:ascii="Arial" w:hAnsi="Arial" w:cs="Arial"/>
                <w:b/>
                <w:sz w:val="24"/>
                <w:szCs w:val="24"/>
              </w:rPr>
            </w:pPr>
            <w:r w:rsidRPr="0032533D">
              <w:rPr>
                <w:rFonts w:ascii="Arial" w:hAnsi="Arial" w:cs="Arial"/>
                <w:b/>
                <w:sz w:val="24"/>
                <w:szCs w:val="24"/>
              </w:rPr>
              <w:t xml:space="preserve">Directorate: </w:t>
            </w:r>
            <w:r>
              <w:rPr>
                <w:rFonts w:ascii="Arial" w:hAnsi="Arial" w:cs="Arial"/>
                <w:sz w:val="24"/>
                <w:szCs w:val="24"/>
              </w:rPr>
              <w:t>Public Health and Communities</w:t>
            </w:r>
          </w:p>
          <w:p w14:paraId="6FDC21A3" w14:textId="77777777" w:rsidR="0035234E" w:rsidRDefault="0035234E" w:rsidP="004E135D">
            <w:pPr>
              <w:rPr>
                <w:rFonts w:ascii="Arial" w:hAnsi="Arial" w:cs="Arial"/>
                <w:sz w:val="24"/>
                <w:szCs w:val="24"/>
              </w:rPr>
            </w:pPr>
            <w:r w:rsidRPr="0032533D">
              <w:rPr>
                <w:rFonts w:ascii="Arial" w:hAnsi="Arial" w:cs="Arial"/>
                <w:b/>
                <w:sz w:val="24"/>
                <w:szCs w:val="24"/>
              </w:rPr>
              <w:t xml:space="preserve">Service Area: </w:t>
            </w:r>
            <w:r>
              <w:rPr>
                <w:rFonts w:ascii="Arial" w:hAnsi="Arial" w:cs="Arial"/>
                <w:sz w:val="24"/>
                <w:szCs w:val="24"/>
              </w:rPr>
              <w:t>Public Health</w:t>
            </w:r>
          </w:p>
          <w:p w14:paraId="6B036B77" w14:textId="77777777" w:rsidR="0035234E" w:rsidRPr="00A733A3" w:rsidRDefault="0035234E" w:rsidP="004E135D">
            <w:pPr>
              <w:rPr>
                <w:rFonts w:ascii="Arial" w:hAnsi="Arial" w:cs="Arial"/>
                <w:b/>
                <w:sz w:val="16"/>
                <w:szCs w:val="16"/>
              </w:rPr>
            </w:pPr>
          </w:p>
        </w:tc>
      </w:tr>
    </w:tbl>
    <w:p w14:paraId="65C5C44C" w14:textId="77777777" w:rsidR="00C96891" w:rsidRPr="009F0696" w:rsidRDefault="00C96891" w:rsidP="009F0696">
      <w:pPr>
        <w:spacing w:line="240" w:lineRule="auto"/>
        <w:rPr>
          <w:rFonts w:ascii="Arial" w:hAnsi="Arial" w:cs="Arial"/>
          <w:sz w:val="24"/>
          <w:szCs w:val="24"/>
        </w:rPr>
      </w:pPr>
    </w:p>
    <w:p w14:paraId="6F08945D" w14:textId="77777777" w:rsidR="00C46E45" w:rsidRPr="00171D81" w:rsidRDefault="008A2A1A" w:rsidP="00354677">
      <w:pPr>
        <w:pStyle w:val="Heading2"/>
        <w:numPr>
          <w:ilvl w:val="0"/>
          <w:numId w:val="7"/>
        </w:numPr>
        <w:spacing w:line="240" w:lineRule="auto"/>
        <w:ind w:left="0" w:firstLine="0"/>
        <w:rPr>
          <w:rFonts w:ascii="Arial" w:hAnsi="Arial" w:cs="Arial"/>
          <w:b/>
          <w:color w:val="auto"/>
          <w:sz w:val="24"/>
          <w:szCs w:val="24"/>
        </w:rPr>
      </w:pPr>
      <w:r w:rsidRPr="00171D81">
        <w:rPr>
          <w:rFonts w:ascii="Arial" w:hAnsi="Arial" w:cs="Arial"/>
          <w:b/>
          <w:color w:val="auto"/>
          <w:sz w:val="24"/>
          <w:szCs w:val="24"/>
        </w:rPr>
        <w:t>Report summary</w:t>
      </w:r>
    </w:p>
    <w:p w14:paraId="37309E2F" w14:textId="77777777" w:rsidR="00354677" w:rsidRPr="00354677" w:rsidRDefault="00EA0E7D" w:rsidP="00354677">
      <w:pPr>
        <w:pStyle w:val="ListParagraph"/>
        <w:numPr>
          <w:ilvl w:val="1"/>
          <w:numId w:val="7"/>
        </w:numPr>
        <w:spacing w:after="120" w:line="240" w:lineRule="auto"/>
        <w:rPr>
          <w:rFonts w:ascii="Arial" w:hAnsi="Arial" w:cs="Arial"/>
          <w:sz w:val="24"/>
          <w:szCs w:val="24"/>
        </w:rPr>
      </w:pPr>
      <w:r>
        <w:rPr>
          <w:rFonts w:ascii="Arial" w:hAnsi="Arial" w:cs="Arial"/>
          <w:sz w:val="24"/>
          <w:szCs w:val="24"/>
        </w:rPr>
        <w:t>Summary report of the proposed saving relating to the Specialist Health Improvement Service within the Public Health and Communities Directorate.</w:t>
      </w:r>
    </w:p>
    <w:p w14:paraId="5F314837" w14:textId="77777777" w:rsidR="00C46E45" w:rsidRPr="00171D81" w:rsidRDefault="008A2A1A" w:rsidP="00BF2EE6">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t>Recommendations</w:t>
      </w:r>
    </w:p>
    <w:p w14:paraId="00AC4957" w14:textId="77777777" w:rsidR="00354677" w:rsidRPr="00171D81" w:rsidRDefault="00EA0E7D" w:rsidP="00BF2EE6">
      <w:pPr>
        <w:pStyle w:val="ListParagraph"/>
        <w:numPr>
          <w:ilvl w:val="1"/>
          <w:numId w:val="7"/>
        </w:numPr>
        <w:rPr>
          <w:rFonts w:ascii="Arial" w:hAnsi="Arial" w:cs="Arial"/>
          <w:sz w:val="24"/>
          <w:szCs w:val="24"/>
        </w:rPr>
      </w:pPr>
      <w:r>
        <w:rPr>
          <w:rFonts w:ascii="Arial" w:hAnsi="Arial" w:cs="Arial"/>
          <w:sz w:val="24"/>
          <w:szCs w:val="24"/>
        </w:rPr>
        <w:t>£200K budget reduction from 2025/26 made from the Specialist Health Improvement Service.</w:t>
      </w:r>
    </w:p>
    <w:p w14:paraId="6C863C89" w14:textId="77777777" w:rsidR="00C46E45" w:rsidRPr="00171D81" w:rsidRDefault="008A2A1A" w:rsidP="00BF2EE6">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t>Reason for recommendation</w:t>
      </w:r>
    </w:p>
    <w:p w14:paraId="74CD3ADE" w14:textId="77777777" w:rsidR="008D6500" w:rsidRPr="00171D81" w:rsidRDefault="008A2A1A" w:rsidP="008D6500">
      <w:pPr>
        <w:rPr>
          <w:rFonts w:ascii="Arial" w:hAnsi="Arial" w:cs="Arial"/>
          <w:sz w:val="24"/>
          <w:szCs w:val="24"/>
        </w:rPr>
      </w:pPr>
      <w:r w:rsidRPr="00171D81">
        <w:rPr>
          <w:rFonts w:ascii="Arial" w:hAnsi="Arial" w:cs="Arial"/>
          <w:sz w:val="24"/>
          <w:szCs w:val="24"/>
        </w:rPr>
        <w:t>3.1</w:t>
      </w:r>
      <w:r w:rsidRPr="00171D81">
        <w:rPr>
          <w:rFonts w:ascii="Arial" w:hAnsi="Arial" w:cs="Arial"/>
          <w:sz w:val="24"/>
          <w:szCs w:val="24"/>
        </w:rPr>
        <w:tab/>
      </w:r>
      <w:r w:rsidR="00EA0E7D">
        <w:rPr>
          <w:rFonts w:ascii="Arial" w:hAnsi="Arial" w:cs="Arial"/>
          <w:sz w:val="24"/>
          <w:szCs w:val="24"/>
        </w:rPr>
        <w:t>Contribute to the corporate budget gap.</w:t>
      </w:r>
    </w:p>
    <w:p w14:paraId="00585FFF" w14:textId="77777777" w:rsidR="00C46E45" w:rsidRPr="00171D81" w:rsidRDefault="008A2A1A" w:rsidP="00C46E45">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t>Alternatives considered</w:t>
      </w:r>
    </w:p>
    <w:p w14:paraId="59676B2A" w14:textId="77777777" w:rsidR="00F76342" w:rsidRDefault="008A2A1A" w:rsidP="00F76342">
      <w:pPr>
        <w:ind w:left="709" w:hanging="709"/>
        <w:rPr>
          <w:rFonts w:ascii="Arial" w:hAnsi="Arial" w:cs="Arial"/>
          <w:sz w:val="24"/>
          <w:szCs w:val="24"/>
        </w:rPr>
      </w:pPr>
      <w:r w:rsidRPr="00171D81">
        <w:rPr>
          <w:rFonts w:ascii="Arial" w:hAnsi="Arial" w:cs="Arial"/>
          <w:sz w:val="24"/>
          <w:szCs w:val="24"/>
        </w:rPr>
        <w:t>4.1</w:t>
      </w:r>
      <w:r w:rsidRPr="00171D81">
        <w:rPr>
          <w:rFonts w:ascii="Arial" w:hAnsi="Arial" w:cs="Arial"/>
          <w:sz w:val="24"/>
          <w:szCs w:val="24"/>
        </w:rPr>
        <w:tab/>
      </w:r>
      <w:r w:rsidR="00F76342" w:rsidRPr="00F76342">
        <w:rPr>
          <w:rFonts w:ascii="Arial" w:hAnsi="Arial" w:cs="Arial"/>
          <w:sz w:val="24"/>
          <w:szCs w:val="24"/>
        </w:rPr>
        <w:t xml:space="preserve">Members could decide not to take the proposal forward and identify </w:t>
      </w:r>
      <w:r w:rsidR="00F76342">
        <w:rPr>
          <w:rFonts w:ascii="Arial" w:hAnsi="Arial" w:cs="Arial"/>
          <w:sz w:val="24"/>
          <w:szCs w:val="24"/>
        </w:rPr>
        <w:t>a</w:t>
      </w:r>
      <w:r w:rsidR="00F76342" w:rsidRPr="00F76342">
        <w:rPr>
          <w:rFonts w:ascii="Arial" w:hAnsi="Arial" w:cs="Arial"/>
          <w:sz w:val="24"/>
          <w:szCs w:val="24"/>
        </w:rPr>
        <w:t>lternative savings proposals</w:t>
      </w:r>
      <w:r w:rsidR="00FB6FF8">
        <w:rPr>
          <w:rFonts w:ascii="Arial" w:hAnsi="Arial" w:cs="Arial"/>
          <w:sz w:val="24"/>
          <w:szCs w:val="24"/>
        </w:rPr>
        <w:t>.</w:t>
      </w:r>
    </w:p>
    <w:p w14:paraId="6F870691" w14:textId="77777777" w:rsidR="00C46E45" w:rsidRPr="00171D81" w:rsidRDefault="00FB6FF8" w:rsidP="00FB6FF8">
      <w:pPr>
        <w:ind w:left="709" w:hanging="709"/>
        <w:rPr>
          <w:rFonts w:ascii="Arial" w:hAnsi="Arial" w:cs="Arial"/>
          <w:b/>
          <w:sz w:val="24"/>
          <w:szCs w:val="24"/>
        </w:rPr>
      </w:pPr>
      <w:r w:rsidRPr="00FB6FF8">
        <w:rPr>
          <w:rFonts w:ascii="Arial" w:hAnsi="Arial" w:cs="Arial"/>
          <w:b/>
          <w:sz w:val="24"/>
          <w:szCs w:val="24"/>
        </w:rPr>
        <w:t>5.</w:t>
      </w:r>
      <w:r w:rsidR="00A71442">
        <w:rPr>
          <w:rFonts w:ascii="Arial" w:hAnsi="Arial" w:cs="Arial"/>
          <w:sz w:val="24"/>
          <w:szCs w:val="24"/>
        </w:rPr>
        <w:tab/>
      </w:r>
      <w:r w:rsidR="008A2A1A" w:rsidRPr="00171D81">
        <w:rPr>
          <w:rFonts w:ascii="Arial" w:hAnsi="Arial" w:cs="Arial"/>
          <w:b/>
          <w:sz w:val="24"/>
          <w:szCs w:val="24"/>
        </w:rPr>
        <w:t>Key information</w:t>
      </w:r>
    </w:p>
    <w:p w14:paraId="2A13EEE0" w14:textId="77777777" w:rsidR="00FB6FF8" w:rsidRPr="00FB6FF8" w:rsidRDefault="008A2A1A" w:rsidP="00FB6FF8">
      <w:pPr>
        <w:ind w:left="709" w:hanging="709"/>
        <w:rPr>
          <w:rFonts w:ascii="Arial" w:hAnsi="Arial" w:cs="Arial"/>
          <w:b/>
          <w:sz w:val="24"/>
          <w:szCs w:val="24"/>
        </w:rPr>
      </w:pPr>
      <w:r w:rsidRPr="00171D81">
        <w:rPr>
          <w:rFonts w:ascii="Arial" w:hAnsi="Arial" w:cs="Arial"/>
          <w:sz w:val="24"/>
          <w:szCs w:val="24"/>
        </w:rPr>
        <w:t>5.1</w:t>
      </w:r>
      <w:r w:rsidRPr="00171D81">
        <w:rPr>
          <w:rFonts w:ascii="Arial" w:hAnsi="Arial" w:cs="Arial"/>
          <w:sz w:val="24"/>
          <w:szCs w:val="24"/>
        </w:rPr>
        <w:tab/>
      </w:r>
      <w:r w:rsidR="00FB6FF8" w:rsidRPr="00FB6FF8">
        <w:rPr>
          <w:rFonts w:ascii="Arial" w:hAnsi="Arial" w:cs="Arial"/>
          <w:b/>
          <w:sz w:val="24"/>
          <w:szCs w:val="24"/>
        </w:rPr>
        <w:t>Background</w:t>
      </w:r>
    </w:p>
    <w:p w14:paraId="59BFC723" w14:textId="77777777" w:rsidR="00FB6FF8" w:rsidRPr="00FB6FF8" w:rsidRDefault="00FB6FF8" w:rsidP="00FB6FF8">
      <w:pPr>
        <w:ind w:left="709" w:hanging="709"/>
        <w:jc w:val="both"/>
        <w:rPr>
          <w:rFonts w:ascii="Arial" w:hAnsi="Arial" w:cs="Arial"/>
          <w:sz w:val="24"/>
          <w:szCs w:val="24"/>
        </w:rPr>
      </w:pPr>
      <w:r w:rsidRPr="00FB6FF8">
        <w:rPr>
          <w:rFonts w:ascii="Arial" w:hAnsi="Arial" w:cs="Arial"/>
          <w:b/>
          <w:sz w:val="24"/>
          <w:szCs w:val="24"/>
        </w:rPr>
        <w:lastRenderedPageBreak/>
        <w:tab/>
      </w:r>
      <w:r w:rsidRPr="00FB6FF8">
        <w:rPr>
          <w:rFonts w:ascii="Arial" w:hAnsi="Arial" w:cs="Arial"/>
          <w:sz w:val="24"/>
          <w:szCs w:val="24"/>
        </w:rPr>
        <w:t xml:space="preserve">The aim of Specialist Health Improvement Service is to: </w:t>
      </w:r>
    </w:p>
    <w:p w14:paraId="2D4779A9" w14:textId="77777777" w:rsidR="00FB6FF8" w:rsidRPr="00FB6FF8" w:rsidRDefault="00FB6FF8" w:rsidP="00FB6FF8">
      <w:pPr>
        <w:pStyle w:val="ListParagraph"/>
        <w:numPr>
          <w:ilvl w:val="0"/>
          <w:numId w:val="11"/>
        </w:numPr>
        <w:jc w:val="both"/>
        <w:rPr>
          <w:rFonts w:ascii="Arial" w:hAnsi="Arial" w:cs="Arial"/>
          <w:sz w:val="24"/>
          <w:szCs w:val="24"/>
        </w:rPr>
      </w:pPr>
      <w:r>
        <w:rPr>
          <w:rFonts w:ascii="Arial" w:hAnsi="Arial" w:cs="Arial"/>
          <w:sz w:val="24"/>
          <w:szCs w:val="24"/>
        </w:rPr>
        <w:t>I</w:t>
      </w:r>
      <w:r w:rsidRPr="00FB6FF8">
        <w:rPr>
          <w:rFonts w:ascii="Arial" w:hAnsi="Arial" w:cs="Arial"/>
          <w:sz w:val="24"/>
          <w:szCs w:val="24"/>
        </w:rPr>
        <w:t>mprove the health and wellbeing of residents at a community level</w:t>
      </w:r>
    </w:p>
    <w:p w14:paraId="2A130A1C" w14:textId="77777777" w:rsidR="00FB6FF8" w:rsidRPr="00FB6FF8" w:rsidRDefault="00FB6FF8" w:rsidP="00FB6FF8">
      <w:pPr>
        <w:pStyle w:val="ListParagraph"/>
        <w:numPr>
          <w:ilvl w:val="0"/>
          <w:numId w:val="11"/>
        </w:numPr>
        <w:jc w:val="both"/>
        <w:rPr>
          <w:rFonts w:ascii="Arial" w:hAnsi="Arial" w:cs="Arial"/>
          <w:sz w:val="24"/>
          <w:szCs w:val="24"/>
        </w:rPr>
      </w:pPr>
      <w:r>
        <w:rPr>
          <w:rFonts w:ascii="Arial" w:hAnsi="Arial" w:cs="Arial"/>
          <w:sz w:val="24"/>
          <w:szCs w:val="24"/>
        </w:rPr>
        <w:t>P</w:t>
      </w:r>
      <w:r w:rsidRPr="00FB6FF8">
        <w:rPr>
          <w:rFonts w:ascii="Arial" w:hAnsi="Arial" w:cs="Arial"/>
          <w:sz w:val="24"/>
          <w:szCs w:val="24"/>
        </w:rPr>
        <w:t>rovide behaviour change support to enable more people to adopt a healthy lifestyle</w:t>
      </w:r>
    </w:p>
    <w:p w14:paraId="3777931D" w14:textId="24ED1295" w:rsidR="00FB6FF8" w:rsidRDefault="00FB6FF8" w:rsidP="00FB6FF8">
      <w:pPr>
        <w:pStyle w:val="ListParagraph"/>
        <w:numPr>
          <w:ilvl w:val="0"/>
          <w:numId w:val="11"/>
        </w:numPr>
        <w:jc w:val="both"/>
        <w:rPr>
          <w:rFonts w:ascii="Arial" w:hAnsi="Arial" w:cs="Arial"/>
          <w:sz w:val="24"/>
          <w:szCs w:val="24"/>
        </w:rPr>
      </w:pPr>
      <w:r>
        <w:rPr>
          <w:rFonts w:ascii="Arial" w:hAnsi="Arial" w:cs="Arial"/>
          <w:sz w:val="24"/>
          <w:szCs w:val="24"/>
        </w:rPr>
        <w:t>Provide</w:t>
      </w:r>
      <w:r w:rsidRPr="00FB6FF8">
        <w:rPr>
          <w:rFonts w:ascii="Arial" w:hAnsi="Arial" w:cs="Arial"/>
          <w:sz w:val="24"/>
          <w:szCs w:val="24"/>
        </w:rPr>
        <w:t xml:space="preserve"> early help and prevention</w:t>
      </w:r>
      <w:r w:rsidR="00DA05D7">
        <w:rPr>
          <w:rFonts w:ascii="Arial" w:hAnsi="Arial" w:cs="Arial"/>
          <w:sz w:val="24"/>
          <w:szCs w:val="24"/>
        </w:rPr>
        <w:t xml:space="preserve"> </w:t>
      </w:r>
      <w:r w:rsidR="00DA05D7" w:rsidRPr="00DA05D7">
        <w:rPr>
          <w:rFonts w:ascii="Arial" w:hAnsi="Arial" w:cs="Arial"/>
          <w:sz w:val="24"/>
          <w:szCs w:val="24"/>
        </w:rPr>
        <w:t>through opportunistic conversations with people who may have disengaged with formal services</w:t>
      </w:r>
    </w:p>
    <w:p w14:paraId="01538932" w14:textId="78500AB5" w:rsidR="0081203D" w:rsidRPr="00FB6FF8" w:rsidRDefault="0081203D" w:rsidP="00FB6FF8">
      <w:pPr>
        <w:pStyle w:val="ListParagraph"/>
        <w:numPr>
          <w:ilvl w:val="0"/>
          <w:numId w:val="11"/>
        </w:numPr>
        <w:jc w:val="both"/>
        <w:rPr>
          <w:rFonts w:ascii="Arial" w:hAnsi="Arial" w:cs="Arial"/>
          <w:sz w:val="24"/>
          <w:szCs w:val="24"/>
        </w:rPr>
      </w:pPr>
      <w:r>
        <w:rPr>
          <w:rFonts w:ascii="Arial" w:hAnsi="Arial" w:cs="Arial"/>
          <w:sz w:val="24"/>
          <w:szCs w:val="24"/>
        </w:rPr>
        <w:t>Apply a person-centred approach to address people</w:t>
      </w:r>
      <w:r w:rsidR="0076284E">
        <w:rPr>
          <w:rFonts w:ascii="Arial" w:hAnsi="Arial" w:cs="Arial"/>
          <w:sz w:val="24"/>
          <w:szCs w:val="24"/>
        </w:rPr>
        <w:t>’</w:t>
      </w:r>
      <w:r>
        <w:rPr>
          <w:rFonts w:ascii="Arial" w:hAnsi="Arial" w:cs="Arial"/>
          <w:sz w:val="24"/>
          <w:szCs w:val="24"/>
        </w:rPr>
        <w:t>s wider issues e.g. employment, housing, finance, relationships</w:t>
      </w:r>
    </w:p>
    <w:p w14:paraId="7CC2E57A" w14:textId="77777777" w:rsidR="00FB6FF8" w:rsidRPr="00FB6FF8" w:rsidRDefault="00FB6FF8" w:rsidP="00FB6FF8">
      <w:pPr>
        <w:pStyle w:val="ListParagraph"/>
        <w:numPr>
          <w:ilvl w:val="0"/>
          <w:numId w:val="11"/>
        </w:numPr>
        <w:jc w:val="both"/>
        <w:rPr>
          <w:rFonts w:ascii="Arial" w:hAnsi="Arial" w:cs="Arial"/>
          <w:sz w:val="24"/>
          <w:szCs w:val="24"/>
        </w:rPr>
      </w:pPr>
      <w:r>
        <w:rPr>
          <w:rFonts w:ascii="Arial" w:hAnsi="Arial" w:cs="Arial"/>
          <w:sz w:val="24"/>
          <w:szCs w:val="24"/>
        </w:rPr>
        <w:t>A</w:t>
      </w:r>
      <w:r w:rsidRPr="00FB6FF8">
        <w:rPr>
          <w:rFonts w:ascii="Arial" w:hAnsi="Arial" w:cs="Arial"/>
          <w:sz w:val="24"/>
          <w:szCs w:val="24"/>
        </w:rPr>
        <w:t xml:space="preserve">ssist communities and groups to develop health and wellbeing </w:t>
      </w:r>
      <w:r w:rsidR="0081203D">
        <w:rPr>
          <w:rFonts w:ascii="Arial" w:hAnsi="Arial" w:cs="Arial"/>
          <w:sz w:val="24"/>
          <w:szCs w:val="24"/>
        </w:rPr>
        <w:t>initiatives</w:t>
      </w:r>
      <w:r w:rsidRPr="00FB6FF8">
        <w:rPr>
          <w:rFonts w:ascii="Arial" w:hAnsi="Arial" w:cs="Arial"/>
          <w:sz w:val="24"/>
          <w:szCs w:val="24"/>
        </w:rPr>
        <w:t xml:space="preserve"> themselves</w:t>
      </w:r>
    </w:p>
    <w:p w14:paraId="5BEA80DE" w14:textId="77777777" w:rsidR="00FB6FF8" w:rsidRPr="00FB6FF8" w:rsidRDefault="00FB6FF8" w:rsidP="00FB6FF8">
      <w:pPr>
        <w:pStyle w:val="ListParagraph"/>
        <w:numPr>
          <w:ilvl w:val="0"/>
          <w:numId w:val="11"/>
        </w:numPr>
        <w:jc w:val="both"/>
        <w:rPr>
          <w:rFonts w:ascii="Arial" w:hAnsi="Arial" w:cs="Arial"/>
          <w:sz w:val="24"/>
          <w:szCs w:val="24"/>
        </w:rPr>
      </w:pPr>
      <w:r>
        <w:rPr>
          <w:rFonts w:ascii="Arial" w:hAnsi="Arial" w:cs="Arial"/>
          <w:sz w:val="24"/>
          <w:szCs w:val="24"/>
        </w:rPr>
        <w:t>T</w:t>
      </w:r>
      <w:r w:rsidRPr="00FB6FF8">
        <w:rPr>
          <w:rFonts w:ascii="Arial" w:hAnsi="Arial" w:cs="Arial"/>
          <w:sz w:val="24"/>
          <w:szCs w:val="24"/>
        </w:rPr>
        <w:t>rain people to carry out health promotion and prevention work</w:t>
      </w:r>
    </w:p>
    <w:p w14:paraId="4E5E9A4A" w14:textId="77777777" w:rsidR="00FB6FF8" w:rsidRPr="00FB6FF8" w:rsidRDefault="00FB6FF8" w:rsidP="00FB6FF8">
      <w:pPr>
        <w:pStyle w:val="ListParagraph"/>
        <w:numPr>
          <w:ilvl w:val="0"/>
          <w:numId w:val="11"/>
        </w:numPr>
        <w:jc w:val="both"/>
        <w:rPr>
          <w:rFonts w:ascii="Arial" w:hAnsi="Arial" w:cs="Arial"/>
          <w:sz w:val="24"/>
          <w:szCs w:val="24"/>
        </w:rPr>
      </w:pPr>
      <w:r>
        <w:rPr>
          <w:rFonts w:ascii="Arial" w:hAnsi="Arial" w:cs="Arial"/>
          <w:sz w:val="24"/>
          <w:szCs w:val="24"/>
        </w:rPr>
        <w:t>D</w:t>
      </w:r>
      <w:r w:rsidRPr="00FB6FF8">
        <w:rPr>
          <w:rFonts w:ascii="Arial" w:hAnsi="Arial" w:cs="Arial"/>
          <w:sz w:val="24"/>
          <w:szCs w:val="24"/>
        </w:rPr>
        <w:t>evelop health promoting places and promote the prevention of heart disease, stroke and cancers.</w:t>
      </w:r>
    </w:p>
    <w:p w14:paraId="168BEC5E" w14:textId="41FC45BA" w:rsidR="00857D9D" w:rsidRDefault="00FB6FF8" w:rsidP="00A62C1D">
      <w:pPr>
        <w:ind w:left="709" w:hanging="709"/>
        <w:jc w:val="both"/>
        <w:rPr>
          <w:rFonts w:ascii="Arial" w:hAnsi="Arial" w:cs="Arial"/>
          <w:sz w:val="24"/>
          <w:szCs w:val="24"/>
        </w:rPr>
      </w:pPr>
      <w:r w:rsidRPr="00FB6FF8">
        <w:rPr>
          <w:rFonts w:ascii="Arial" w:hAnsi="Arial" w:cs="Arial"/>
          <w:sz w:val="24"/>
          <w:szCs w:val="24"/>
        </w:rPr>
        <w:tab/>
      </w:r>
    </w:p>
    <w:p w14:paraId="49FD1C24" w14:textId="77777777" w:rsidR="00497ABB" w:rsidRPr="00497ABB" w:rsidRDefault="00FB6FF8" w:rsidP="00E057C1">
      <w:pPr>
        <w:ind w:left="709" w:hanging="709"/>
        <w:jc w:val="both"/>
        <w:rPr>
          <w:rFonts w:ascii="Arial" w:hAnsi="Arial" w:cs="Arial"/>
          <w:sz w:val="24"/>
          <w:szCs w:val="24"/>
        </w:rPr>
      </w:pPr>
      <w:r>
        <w:rPr>
          <w:rFonts w:ascii="Arial" w:hAnsi="Arial" w:cs="Arial"/>
          <w:sz w:val="24"/>
          <w:szCs w:val="24"/>
        </w:rPr>
        <w:t>5.2</w:t>
      </w:r>
      <w:r>
        <w:rPr>
          <w:rFonts w:ascii="Arial" w:hAnsi="Arial" w:cs="Arial"/>
          <w:sz w:val="24"/>
          <w:szCs w:val="24"/>
        </w:rPr>
        <w:tab/>
      </w:r>
      <w:r w:rsidR="00FE1A36">
        <w:rPr>
          <w:rFonts w:ascii="Arial" w:hAnsi="Arial" w:cs="Arial"/>
          <w:sz w:val="24"/>
          <w:szCs w:val="24"/>
        </w:rPr>
        <w:t>The current S</w:t>
      </w:r>
      <w:r w:rsidR="00497ABB" w:rsidRPr="00497ABB">
        <w:rPr>
          <w:rFonts w:ascii="Arial" w:hAnsi="Arial" w:cs="Arial"/>
          <w:sz w:val="24"/>
          <w:szCs w:val="24"/>
        </w:rPr>
        <w:t xml:space="preserve">pecialist </w:t>
      </w:r>
      <w:r w:rsidR="00FE1A36">
        <w:rPr>
          <w:rFonts w:ascii="Arial" w:hAnsi="Arial" w:cs="Arial"/>
          <w:sz w:val="24"/>
          <w:szCs w:val="24"/>
        </w:rPr>
        <w:t>H</w:t>
      </w:r>
      <w:r w:rsidR="00497ABB" w:rsidRPr="00497ABB">
        <w:rPr>
          <w:rFonts w:ascii="Arial" w:hAnsi="Arial" w:cs="Arial"/>
          <w:sz w:val="24"/>
          <w:szCs w:val="24"/>
        </w:rPr>
        <w:t xml:space="preserve">ealth </w:t>
      </w:r>
      <w:r w:rsidR="00FE1A36">
        <w:rPr>
          <w:rFonts w:ascii="Arial" w:hAnsi="Arial" w:cs="Arial"/>
          <w:sz w:val="24"/>
          <w:szCs w:val="24"/>
        </w:rPr>
        <w:t>I</w:t>
      </w:r>
      <w:r w:rsidR="00497ABB" w:rsidRPr="00497ABB">
        <w:rPr>
          <w:rFonts w:ascii="Arial" w:hAnsi="Arial" w:cs="Arial"/>
          <w:sz w:val="24"/>
          <w:szCs w:val="24"/>
        </w:rPr>
        <w:t xml:space="preserve">mprovement </w:t>
      </w:r>
      <w:r w:rsidR="00FE1A36">
        <w:rPr>
          <w:rFonts w:ascii="Arial" w:hAnsi="Arial" w:cs="Arial"/>
          <w:sz w:val="24"/>
          <w:szCs w:val="24"/>
        </w:rPr>
        <w:t>S</w:t>
      </w:r>
      <w:r w:rsidR="00497ABB" w:rsidRPr="00497ABB">
        <w:rPr>
          <w:rFonts w:ascii="Arial" w:hAnsi="Arial" w:cs="Arial"/>
          <w:sz w:val="24"/>
          <w:szCs w:val="24"/>
        </w:rPr>
        <w:t xml:space="preserve">ervice, called Living Well, is delivered by the Big Life Company. The contract commenced in April 2022 following a competitive procurement process. </w:t>
      </w:r>
    </w:p>
    <w:p w14:paraId="0E2D70B1" w14:textId="537FA846" w:rsidR="00497ABB" w:rsidRDefault="00FB6FF8" w:rsidP="00E057C1">
      <w:pPr>
        <w:ind w:left="709" w:hanging="709"/>
        <w:jc w:val="both"/>
        <w:rPr>
          <w:rFonts w:ascii="Arial" w:hAnsi="Arial" w:cs="Arial"/>
          <w:sz w:val="24"/>
          <w:szCs w:val="24"/>
        </w:rPr>
      </w:pPr>
      <w:r>
        <w:rPr>
          <w:rFonts w:ascii="Arial" w:hAnsi="Arial" w:cs="Arial"/>
          <w:sz w:val="24"/>
          <w:szCs w:val="24"/>
        </w:rPr>
        <w:lastRenderedPageBreak/>
        <w:t>5.3</w:t>
      </w:r>
      <w:r w:rsidR="00497ABB" w:rsidRPr="00497ABB">
        <w:rPr>
          <w:rFonts w:ascii="Arial" w:hAnsi="Arial" w:cs="Arial"/>
          <w:sz w:val="24"/>
          <w:szCs w:val="24"/>
        </w:rPr>
        <w:tab/>
        <w:t>Living Well have delivered specialist health improvement services in the borough since 2014. They lead on health improvement and prevention services, working closely with key stakeholders including adult care, primary and secondary care.</w:t>
      </w:r>
    </w:p>
    <w:p w14:paraId="0048E117" w14:textId="77777777" w:rsidR="00497ABB" w:rsidRDefault="00FB6FF8" w:rsidP="00E057C1">
      <w:pPr>
        <w:jc w:val="both"/>
        <w:rPr>
          <w:rFonts w:ascii="Arial" w:hAnsi="Arial" w:cs="Arial"/>
          <w:sz w:val="24"/>
          <w:szCs w:val="24"/>
        </w:rPr>
      </w:pPr>
      <w:r>
        <w:rPr>
          <w:rFonts w:ascii="Arial" w:hAnsi="Arial" w:cs="Arial"/>
          <w:sz w:val="24"/>
          <w:szCs w:val="24"/>
        </w:rPr>
        <w:t>5.4</w:t>
      </w:r>
      <w:r w:rsidR="00497ABB" w:rsidRPr="00497ABB">
        <w:rPr>
          <w:rFonts w:ascii="Arial" w:hAnsi="Arial" w:cs="Arial"/>
          <w:sz w:val="24"/>
          <w:szCs w:val="24"/>
        </w:rPr>
        <w:tab/>
        <w:t>The core contract value is £8</w:t>
      </w:r>
      <w:r w:rsidR="00FE1A36">
        <w:rPr>
          <w:rFonts w:ascii="Arial" w:hAnsi="Arial" w:cs="Arial"/>
          <w:sz w:val="24"/>
          <w:szCs w:val="24"/>
        </w:rPr>
        <w:t>98</w:t>
      </w:r>
      <w:r w:rsidR="00497ABB" w:rsidRPr="00497ABB">
        <w:rPr>
          <w:rFonts w:ascii="Arial" w:hAnsi="Arial" w:cs="Arial"/>
          <w:sz w:val="24"/>
          <w:szCs w:val="24"/>
        </w:rPr>
        <w:t xml:space="preserve">,685 per annum. </w:t>
      </w:r>
    </w:p>
    <w:p w14:paraId="3A3D09CE" w14:textId="4332261F" w:rsidR="00497ABB" w:rsidRDefault="00FB6FF8" w:rsidP="00AD79C0">
      <w:pPr>
        <w:ind w:left="709" w:hanging="709"/>
        <w:jc w:val="both"/>
        <w:rPr>
          <w:rFonts w:ascii="Arial" w:hAnsi="Arial" w:cs="Arial"/>
          <w:sz w:val="24"/>
          <w:szCs w:val="24"/>
        </w:rPr>
      </w:pPr>
      <w:r>
        <w:rPr>
          <w:rFonts w:ascii="Arial" w:hAnsi="Arial" w:cs="Arial"/>
          <w:sz w:val="24"/>
          <w:szCs w:val="24"/>
        </w:rPr>
        <w:t>5.5</w:t>
      </w:r>
      <w:r w:rsidR="00E057C1">
        <w:rPr>
          <w:rFonts w:ascii="Arial" w:hAnsi="Arial" w:cs="Arial"/>
          <w:sz w:val="24"/>
          <w:szCs w:val="24"/>
        </w:rPr>
        <w:t xml:space="preserve"> </w:t>
      </w:r>
      <w:r w:rsidR="00E057C1">
        <w:rPr>
          <w:rFonts w:ascii="Arial" w:hAnsi="Arial" w:cs="Arial"/>
          <w:sz w:val="24"/>
          <w:szCs w:val="24"/>
        </w:rPr>
        <w:tab/>
        <w:t>The proposed £200K reduction to the contract value represents a 2</w:t>
      </w:r>
      <w:r w:rsidR="00FE1A36">
        <w:rPr>
          <w:rFonts w:ascii="Arial" w:hAnsi="Arial" w:cs="Arial"/>
          <w:sz w:val="24"/>
          <w:szCs w:val="24"/>
        </w:rPr>
        <w:t>2</w:t>
      </w:r>
      <w:r w:rsidR="00E057C1">
        <w:rPr>
          <w:rFonts w:ascii="Arial" w:hAnsi="Arial" w:cs="Arial"/>
          <w:sz w:val="24"/>
          <w:szCs w:val="24"/>
        </w:rPr>
        <w:t>% reduction.</w:t>
      </w:r>
    </w:p>
    <w:p w14:paraId="52ADFB58" w14:textId="77777777" w:rsidR="00FB6FF8" w:rsidRDefault="00FB6FF8" w:rsidP="00E057C1">
      <w:pPr>
        <w:ind w:left="709" w:hanging="709"/>
        <w:rPr>
          <w:rFonts w:ascii="Arial" w:hAnsi="Arial" w:cs="Arial"/>
          <w:sz w:val="24"/>
          <w:szCs w:val="24"/>
        </w:rPr>
      </w:pPr>
      <w:r>
        <w:rPr>
          <w:rFonts w:ascii="Arial" w:hAnsi="Arial" w:cs="Arial"/>
          <w:sz w:val="24"/>
          <w:szCs w:val="24"/>
        </w:rPr>
        <w:t>5.7</w:t>
      </w:r>
      <w:r w:rsidR="00E057C1">
        <w:rPr>
          <w:rFonts w:ascii="Arial" w:hAnsi="Arial" w:cs="Arial"/>
          <w:sz w:val="24"/>
          <w:szCs w:val="24"/>
        </w:rPr>
        <w:tab/>
      </w:r>
      <w:r w:rsidRPr="00FB6FF8">
        <w:rPr>
          <w:rFonts w:ascii="Arial" w:hAnsi="Arial" w:cs="Arial"/>
          <w:b/>
          <w:sz w:val="24"/>
          <w:szCs w:val="24"/>
        </w:rPr>
        <w:t>Impact</w:t>
      </w:r>
    </w:p>
    <w:p w14:paraId="77902F83" w14:textId="30B61D52" w:rsidR="00E057C1" w:rsidRDefault="00A71442" w:rsidP="0000740A">
      <w:pPr>
        <w:ind w:left="709"/>
        <w:jc w:val="both"/>
        <w:rPr>
          <w:rFonts w:ascii="Arial" w:hAnsi="Arial" w:cs="Arial"/>
          <w:sz w:val="24"/>
          <w:szCs w:val="24"/>
        </w:rPr>
      </w:pPr>
      <w:r w:rsidRPr="00FB6FF8">
        <w:rPr>
          <w:rFonts w:ascii="Arial" w:hAnsi="Arial" w:cs="Arial"/>
          <w:sz w:val="24"/>
          <w:szCs w:val="24"/>
        </w:rPr>
        <w:t xml:space="preserve">This proposal will have an impact on service delivery. There will be some wider impact on health services, </w:t>
      </w:r>
      <w:r w:rsidR="0081203D">
        <w:rPr>
          <w:rFonts w:ascii="Arial" w:hAnsi="Arial" w:cs="Arial"/>
          <w:sz w:val="24"/>
          <w:szCs w:val="24"/>
        </w:rPr>
        <w:t xml:space="preserve">council services, </w:t>
      </w:r>
      <w:r w:rsidRPr="00FB6FF8">
        <w:rPr>
          <w:rFonts w:ascii="Arial" w:hAnsi="Arial" w:cs="Arial"/>
          <w:sz w:val="24"/>
          <w:szCs w:val="24"/>
        </w:rPr>
        <w:t xml:space="preserve">leisure services, </w:t>
      </w:r>
      <w:r w:rsidR="0081203D">
        <w:rPr>
          <w:rFonts w:ascii="Arial" w:hAnsi="Arial" w:cs="Arial"/>
          <w:sz w:val="24"/>
          <w:szCs w:val="24"/>
        </w:rPr>
        <w:t xml:space="preserve">and </w:t>
      </w:r>
      <w:r w:rsidRPr="00FB6FF8">
        <w:rPr>
          <w:rFonts w:ascii="Arial" w:hAnsi="Arial" w:cs="Arial"/>
          <w:sz w:val="24"/>
          <w:szCs w:val="24"/>
        </w:rPr>
        <w:t xml:space="preserve">primary care including GPs due to slower responses from this support service. </w:t>
      </w:r>
    </w:p>
    <w:p w14:paraId="717BBEE8" w14:textId="77777777" w:rsidR="00A71442" w:rsidRPr="00FB6FF8" w:rsidRDefault="00A71442" w:rsidP="00A71442">
      <w:pPr>
        <w:ind w:left="709" w:hanging="142"/>
        <w:jc w:val="both"/>
        <w:rPr>
          <w:rFonts w:ascii="Arial" w:hAnsi="Arial" w:cs="Arial"/>
          <w:sz w:val="24"/>
          <w:szCs w:val="24"/>
        </w:rPr>
      </w:pPr>
      <w:r>
        <w:rPr>
          <w:rFonts w:ascii="Arial" w:hAnsi="Arial" w:cs="Arial"/>
          <w:sz w:val="24"/>
          <w:szCs w:val="24"/>
        </w:rPr>
        <w:tab/>
      </w:r>
      <w:r w:rsidRPr="00FB6FF8">
        <w:rPr>
          <w:rFonts w:ascii="Arial" w:hAnsi="Arial" w:cs="Arial"/>
          <w:sz w:val="24"/>
          <w:szCs w:val="24"/>
        </w:rPr>
        <w:t xml:space="preserve">Specific impacts of the reduction will be: </w:t>
      </w:r>
    </w:p>
    <w:p w14:paraId="037053EB" w14:textId="2E1FCB9E" w:rsidR="009516C8" w:rsidRDefault="00A71442" w:rsidP="00AA3891">
      <w:pPr>
        <w:pStyle w:val="ListParagraph"/>
        <w:numPr>
          <w:ilvl w:val="0"/>
          <w:numId w:val="10"/>
        </w:numPr>
        <w:jc w:val="both"/>
        <w:rPr>
          <w:rFonts w:ascii="Arial" w:hAnsi="Arial" w:cs="Arial"/>
          <w:sz w:val="24"/>
          <w:szCs w:val="24"/>
        </w:rPr>
      </w:pPr>
      <w:r w:rsidRPr="00AA3891">
        <w:rPr>
          <w:rFonts w:ascii="Arial" w:hAnsi="Arial" w:cs="Arial"/>
          <w:sz w:val="24"/>
          <w:szCs w:val="24"/>
        </w:rPr>
        <w:t>A reduction in the number of people who can access behaviour change</w:t>
      </w:r>
      <w:r w:rsidR="00642A91" w:rsidRPr="00AA3891">
        <w:rPr>
          <w:rFonts w:ascii="Arial" w:hAnsi="Arial" w:cs="Arial"/>
          <w:sz w:val="24"/>
          <w:szCs w:val="24"/>
        </w:rPr>
        <w:t>. In 2023/24 the service worked with 3000 residents. A 22% reduction in capacity equates to 660</w:t>
      </w:r>
      <w:r w:rsidR="00AD79C0">
        <w:rPr>
          <w:rFonts w:ascii="Arial" w:hAnsi="Arial" w:cs="Arial"/>
          <w:sz w:val="24"/>
          <w:szCs w:val="24"/>
        </w:rPr>
        <w:t xml:space="preserve"> fewer </w:t>
      </w:r>
      <w:r w:rsidR="00642A91" w:rsidRPr="00AA3891">
        <w:rPr>
          <w:rFonts w:ascii="Arial" w:hAnsi="Arial" w:cs="Arial"/>
          <w:sz w:val="24"/>
          <w:szCs w:val="24"/>
        </w:rPr>
        <w:t>people</w:t>
      </w:r>
    </w:p>
    <w:p w14:paraId="6A347C9E" w14:textId="7EA6D761" w:rsidR="000A4AD2" w:rsidRPr="00FB6FF8" w:rsidRDefault="00E42EEA" w:rsidP="00AA3891">
      <w:pPr>
        <w:pStyle w:val="ListParagraph"/>
        <w:numPr>
          <w:ilvl w:val="0"/>
          <w:numId w:val="10"/>
        </w:numPr>
        <w:jc w:val="both"/>
        <w:rPr>
          <w:rFonts w:ascii="Arial" w:hAnsi="Arial" w:cs="Arial"/>
          <w:sz w:val="24"/>
          <w:szCs w:val="24"/>
        </w:rPr>
      </w:pPr>
      <w:r>
        <w:rPr>
          <w:rFonts w:ascii="Arial" w:hAnsi="Arial" w:cs="Arial"/>
          <w:sz w:val="24"/>
          <w:szCs w:val="24"/>
        </w:rPr>
        <w:t>Less</w:t>
      </w:r>
      <w:r w:rsidR="000A4AD2">
        <w:rPr>
          <w:rFonts w:ascii="Arial" w:hAnsi="Arial" w:cs="Arial"/>
          <w:sz w:val="24"/>
          <w:szCs w:val="24"/>
        </w:rPr>
        <w:t xml:space="preserve"> capacity </w:t>
      </w:r>
      <w:r w:rsidR="0076284E">
        <w:rPr>
          <w:rFonts w:ascii="Arial" w:hAnsi="Arial" w:cs="Arial"/>
          <w:sz w:val="24"/>
          <w:szCs w:val="24"/>
        </w:rPr>
        <w:t xml:space="preserve">to </w:t>
      </w:r>
      <w:r w:rsidR="000A4AD2">
        <w:rPr>
          <w:rFonts w:ascii="Arial" w:hAnsi="Arial" w:cs="Arial"/>
          <w:sz w:val="24"/>
          <w:szCs w:val="24"/>
        </w:rPr>
        <w:t>adapt and respond to unexpected emerging priorities (i</w:t>
      </w:r>
      <w:r w:rsidR="0076284E">
        <w:rPr>
          <w:rFonts w:ascii="Arial" w:hAnsi="Arial" w:cs="Arial"/>
          <w:sz w:val="24"/>
          <w:szCs w:val="24"/>
        </w:rPr>
        <w:t>.</w:t>
      </w:r>
      <w:r w:rsidR="000A4AD2">
        <w:rPr>
          <w:rFonts w:ascii="Arial" w:hAnsi="Arial" w:cs="Arial"/>
          <w:sz w:val="24"/>
          <w:szCs w:val="24"/>
        </w:rPr>
        <w:t>e</w:t>
      </w:r>
      <w:r w:rsidR="0076284E">
        <w:rPr>
          <w:rFonts w:ascii="Arial" w:hAnsi="Arial" w:cs="Arial"/>
          <w:sz w:val="24"/>
          <w:szCs w:val="24"/>
        </w:rPr>
        <w:t>.</w:t>
      </w:r>
      <w:r w:rsidR="000A4AD2">
        <w:rPr>
          <w:rFonts w:ascii="Arial" w:hAnsi="Arial" w:cs="Arial"/>
          <w:sz w:val="24"/>
          <w:szCs w:val="24"/>
        </w:rPr>
        <w:t xml:space="preserve"> Covid 19) </w:t>
      </w:r>
    </w:p>
    <w:p w14:paraId="460BF651" w14:textId="77777777" w:rsidR="00A66956" w:rsidRPr="00AA3891" w:rsidRDefault="00AC4A9E" w:rsidP="00AA3891">
      <w:pPr>
        <w:pStyle w:val="ListParagraph"/>
        <w:numPr>
          <w:ilvl w:val="0"/>
          <w:numId w:val="10"/>
        </w:numPr>
        <w:jc w:val="both"/>
        <w:rPr>
          <w:rFonts w:ascii="Arial" w:hAnsi="Arial" w:cs="Arial"/>
          <w:sz w:val="24"/>
          <w:szCs w:val="24"/>
        </w:rPr>
      </w:pPr>
      <w:r w:rsidRPr="00AA3891">
        <w:rPr>
          <w:rFonts w:ascii="Arial" w:hAnsi="Arial" w:cs="Arial"/>
          <w:sz w:val="24"/>
          <w:szCs w:val="24"/>
        </w:rPr>
        <w:t>A reduction i</w:t>
      </w:r>
      <w:r w:rsidR="00A66956" w:rsidRPr="00AA3891">
        <w:rPr>
          <w:rFonts w:ascii="Arial" w:hAnsi="Arial" w:cs="Arial"/>
          <w:sz w:val="24"/>
          <w:szCs w:val="24"/>
        </w:rPr>
        <w:t>n the number of lifestyle interventions for people living in areas of deprivation and targeted work with vulnerable groups</w:t>
      </w:r>
    </w:p>
    <w:p w14:paraId="53F55A97" w14:textId="7C4E8132" w:rsidR="00A66956" w:rsidRDefault="00A66956" w:rsidP="00A71442">
      <w:pPr>
        <w:pStyle w:val="ListParagraph"/>
        <w:numPr>
          <w:ilvl w:val="0"/>
          <w:numId w:val="10"/>
        </w:numPr>
        <w:jc w:val="both"/>
        <w:rPr>
          <w:rFonts w:ascii="Arial" w:hAnsi="Arial" w:cs="Arial"/>
          <w:sz w:val="24"/>
          <w:szCs w:val="24"/>
        </w:rPr>
      </w:pPr>
      <w:r w:rsidRPr="00FB6FF8">
        <w:rPr>
          <w:rFonts w:ascii="Arial" w:hAnsi="Arial" w:cs="Arial"/>
          <w:sz w:val="24"/>
          <w:szCs w:val="24"/>
        </w:rPr>
        <w:lastRenderedPageBreak/>
        <w:t>Increased waiting times for people who are able to access the service</w:t>
      </w:r>
      <w:r w:rsidR="00BC3CEA">
        <w:rPr>
          <w:rFonts w:ascii="Arial" w:hAnsi="Arial" w:cs="Arial"/>
          <w:sz w:val="24"/>
          <w:szCs w:val="24"/>
        </w:rPr>
        <w:t xml:space="preserve"> from an average </w:t>
      </w:r>
      <w:r w:rsidR="009516C8">
        <w:rPr>
          <w:rFonts w:ascii="Arial" w:hAnsi="Arial" w:cs="Arial"/>
          <w:sz w:val="24"/>
          <w:szCs w:val="24"/>
        </w:rPr>
        <w:t xml:space="preserve">of </w:t>
      </w:r>
      <w:r w:rsidR="008E03E3">
        <w:rPr>
          <w:rFonts w:ascii="Arial" w:hAnsi="Arial" w:cs="Arial"/>
          <w:sz w:val="24"/>
          <w:szCs w:val="24"/>
        </w:rPr>
        <w:t>four</w:t>
      </w:r>
      <w:r w:rsidR="009516C8">
        <w:rPr>
          <w:rFonts w:ascii="Arial" w:hAnsi="Arial" w:cs="Arial"/>
          <w:sz w:val="24"/>
          <w:szCs w:val="24"/>
        </w:rPr>
        <w:t xml:space="preserve"> to </w:t>
      </w:r>
      <w:r w:rsidR="008E03E3">
        <w:rPr>
          <w:rFonts w:ascii="Arial" w:hAnsi="Arial" w:cs="Arial"/>
          <w:sz w:val="24"/>
          <w:szCs w:val="24"/>
        </w:rPr>
        <w:t>eight</w:t>
      </w:r>
      <w:r w:rsidR="00BC3CEA">
        <w:rPr>
          <w:rFonts w:ascii="Arial" w:hAnsi="Arial" w:cs="Arial"/>
          <w:sz w:val="24"/>
          <w:szCs w:val="24"/>
        </w:rPr>
        <w:t xml:space="preserve"> weeks</w:t>
      </w:r>
    </w:p>
    <w:p w14:paraId="2AF9B5F8" w14:textId="0058C2EE" w:rsidR="00BC3CEA" w:rsidRPr="00FB6FF8" w:rsidRDefault="002F4865" w:rsidP="00A71442">
      <w:pPr>
        <w:pStyle w:val="ListParagraph"/>
        <w:numPr>
          <w:ilvl w:val="0"/>
          <w:numId w:val="10"/>
        </w:numPr>
        <w:jc w:val="both"/>
        <w:rPr>
          <w:rFonts w:ascii="Arial" w:hAnsi="Arial" w:cs="Arial"/>
          <w:sz w:val="24"/>
          <w:szCs w:val="24"/>
        </w:rPr>
      </w:pPr>
      <w:r>
        <w:rPr>
          <w:rFonts w:ascii="Arial" w:hAnsi="Arial" w:cs="Arial"/>
          <w:sz w:val="24"/>
          <w:szCs w:val="24"/>
        </w:rPr>
        <w:t>C</w:t>
      </w:r>
      <w:r w:rsidR="00BC3CEA">
        <w:rPr>
          <w:rFonts w:ascii="Arial" w:hAnsi="Arial" w:cs="Arial"/>
          <w:sz w:val="24"/>
          <w:szCs w:val="24"/>
        </w:rPr>
        <w:t xml:space="preserve">onnecting </w:t>
      </w:r>
      <w:r w:rsidR="00CD499B">
        <w:rPr>
          <w:rFonts w:ascii="Arial" w:hAnsi="Arial" w:cs="Arial"/>
          <w:sz w:val="24"/>
          <w:szCs w:val="24"/>
        </w:rPr>
        <w:t xml:space="preserve">isolated people to </w:t>
      </w:r>
      <w:r>
        <w:rPr>
          <w:rFonts w:ascii="Arial" w:hAnsi="Arial" w:cs="Arial"/>
          <w:sz w:val="24"/>
          <w:szCs w:val="24"/>
        </w:rPr>
        <w:t xml:space="preserve">people and </w:t>
      </w:r>
      <w:r w:rsidR="00CD499B">
        <w:rPr>
          <w:rFonts w:ascii="Arial" w:hAnsi="Arial" w:cs="Arial"/>
          <w:sz w:val="24"/>
          <w:szCs w:val="24"/>
        </w:rPr>
        <w:t xml:space="preserve">activities </w:t>
      </w:r>
      <w:r w:rsidR="00BC3CEA">
        <w:rPr>
          <w:rFonts w:ascii="Arial" w:hAnsi="Arial" w:cs="Arial"/>
          <w:sz w:val="24"/>
          <w:szCs w:val="24"/>
        </w:rPr>
        <w:t>is likely to reduce from 300 to 225</w:t>
      </w:r>
      <w:r w:rsidR="008221F9">
        <w:rPr>
          <w:rFonts w:ascii="Arial" w:hAnsi="Arial" w:cs="Arial"/>
          <w:sz w:val="24"/>
          <w:szCs w:val="24"/>
        </w:rPr>
        <w:t xml:space="preserve"> residents</w:t>
      </w:r>
    </w:p>
    <w:p w14:paraId="06A1328B" w14:textId="1046E1C7" w:rsidR="00A66956" w:rsidRDefault="00A66956" w:rsidP="00A71442">
      <w:pPr>
        <w:pStyle w:val="ListParagraph"/>
        <w:numPr>
          <w:ilvl w:val="0"/>
          <w:numId w:val="10"/>
        </w:numPr>
        <w:jc w:val="both"/>
        <w:rPr>
          <w:rFonts w:ascii="Arial" w:hAnsi="Arial" w:cs="Arial"/>
          <w:sz w:val="24"/>
          <w:szCs w:val="24"/>
        </w:rPr>
      </w:pPr>
      <w:r w:rsidRPr="00FB6FF8">
        <w:rPr>
          <w:rFonts w:ascii="Arial" w:hAnsi="Arial" w:cs="Arial"/>
          <w:sz w:val="24"/>
          <w:szCs w:val="24"/>
        </w:rPr>
        <w:t xml:space="preserve">Training related to health improvement for staff working across the borough </w:t>
      </w:r>
      <w:r w:rsidR="008221F9">
        <w:rPr>
          <w:rFonts w:ascii="Arial" w:hAnsi="Arial" w:cs="Arial"/>
          <w:sz w:val="24"/>
          <w:szCs w:val="24"/>
        </w:rPr>
        <w:t>may</w:t>
      </w:r>
      <w:r w:rsidRPr="00FB6FF8">
        <w:rPr>
          <w:rFonts w:ascii="Arial" w:hAnsi="Arial" w:cs="Arial"/>
          <w:sz w:val="24"/>
          <w:szCs w:val="24"/>
        </w:rPr>
        <w:t xml:space="preserve"> reduce</w:t>
      </w:r>
    </w:p>
    <w:p w14:paraId="2E15EF2E" w14:textId="0BE9CDE6" w:rsidR="00CD499B" w:rsidRDefault="00CD499B" w:rsidP="00131E8A">
      <w:pPr>
        <w:pStyle w:val="ListParagraph"/>
        <w:numPr>
          <w:ilvl w:val="0"/>
          <w:numId w:val="10"/>
        </w:numPr>
        <w:jc w:val="both"/>
        <w:rPr>
          <w:rFonts w:ascii="Arial" w:hAnsi="Arial" w:cs="Arial"/>
          <w:sz w:val="24"/>
          <w:szCs w:val="24"/>
        </w:rPr>
      </w:pPr>
      <w:r w:rsidRPr="00CD499B">
        <w:rPr>
          <w:rFonts w:ascii="Arial" w:hAnsi="Arial" w:cs="Arial"/>
          <w:sz w:val="24"/>
          <w:szCs w:val="24"/>
        </w:rPr>
        <w:t>A reduction in</w:t>
      </w:r>
      <w:r w:rsidR="00EA64AA" w:rsidRPr="00CD499B">
        <w:rPr>
          <w:rFonts w:ascii="Arial" w:hAnsi="Arial" w:cs="Arial"/>
          <w:sz w:val="24"/>
          <w:szCs w:val="24"/>
        </w:rPr>
        <w:t xml:space="preserve"> opportunistic</w:t>
      </w:r>
      <w:r w:rsidR="000A4AD2" w:rsidRPr="00CD499B">
        <w:rPr>
          <w:rFonts w:ascii="Arial" w:hAnsi="Arial" w:cs="Arial"/>
          <w:sz w:val="24"/>
          <w:szCs w:val="24"/>
        </w:rPr>
        <w:t xml:space="preserve"> conversations with people who have disengaged with formal </w:t>
      </w:r>
      <w:r w:rsidRPr="00CD499B">
        <w:rPr>
          <w:rFonts w:ascii="Arial" w:hAnsi="Arial" w:cs="Arial"/>
          <w:sz w:val="24"/>
          <w:szCs w:val="24"/>
        </w:rPr>
        <w:t xml:space="preserve">services </w:t>
      </w:r>
    </w:p>
    <w:p w14:paraId="37A4B56F" w14:textId="4CA2996D" w:rsidR="00E42EEA" w:rsidRDefault="00E42EEA" w:rsidP="00B248E4">
      <w:pPr>
        <w:pStyle w:val="ListParagraph"/>
        <w:numPr>
          <w:ilvl w:val="0"/>
          <w:numId w:val="10"/>
        </w:numPr>
        <w:jc w:val="both"/>
        <w:rPr>
          <w:rFonts w:ascii="Arial" w:hAnsi="Arial" w:cs="Arial"/>
          <w:sz w:val="24"/>
          <w:szCs w:val="24"/>
        </w:rPr>
      </w:pPr>
      <w:r w:rsidRPr="00E42EEA">
        <w:rPr>
          <w:rFonts w:ascii="Arial" w:hAnsi="Arial" w:cs="Arial"/>
          <w:sz w:val="24"/>
          <w:szCs w:val="24"/>
        </w:rPr>
        <w:t>A reduction in s</w:t>
      </w:r>
      <w:r w:rsidR="00A71442" w:rsidRPr="00E42EEA">
        <w:rPr>
          <w:rFonts w:ascii="Arial" w:hAnsi="Arial" w:cs="Arial"/>
          <w:sz w:val="24"/>
          <w:szCs w:val="24"/>
        </w:rPr>
        <w:t>ervices to assist people to lose weight or be active</w:t>
      </w:r>
    </w:p>
    <w:p w14:paraId="52C0968D" w14:textId="021375D0" w:rsidR="00DA05D7" w:rsidRDefault="00A62C1D" w:rsidP="00DA05D7">
      <w:pPr>
        <w:pStyle w:val="ListParagraph"/>
        <w:numPr>
          <w:ilvl w:val="0"/>
          <w:numId w:val="10"/>
        </w:numPr>
        <w:jc w:val="both"/>
        <w:rPr>
          <w:rFonts w:ascii="Arial" w:hAnsi="Arial" w:cs="Arial"/>
          <w:sz w:val="24"/>
          <w:szCs w:val="24"/>
        </w:rPr>
      </w:pPr>
      <w:r>
        <w:rPr>
          <w:rFonts w:ascii="Arial" w:hAnsi="Arial" w:cs="Arial"/>
          <w:sz w:val="24"/>
          <w:szCs w:val="24"/>
        </w:rPr>
        <w:t>T</w:t>
      </w:r>
      <w:r w:rsidR="00A71442" w:rsidRPr="00E42EEA">
        <w:rPr>
          <w:rFonts w:ascii="Arial" w:hAnsi="Arial" w:cs="Arial"/>
          <w:sz w:val="24"/>
          <w:szCs w:val="24"/>
        </w:rPr>
        <w:t xml:space="preserve">he </w:t>
      </w:r>
      <w:r>
        <w:rPr>
          <w:rFonts w:ascii="Arial" w:hAnsi="Arial" w:cs="Arial"/>
          <w:sz w:val="24"/>
          <w:szCs w:val="24"/>
        </w:rPr>
        <w:t xml:space="preserve">longer term impact will be that the </w:t>
      </w:r>
      <w:r w:rsidR="00A71442" w:rsidRPr="00E42EEA">
        <w:rPr>
          <w:rFonts w:ascii="Arial" w:hAnsi="Arial" w:cs="Arial"/>
          <w:sz w:val="24"/>
          <w:szCs w:val="24"/>
        </w:rPr>
        <w:t>need for treatment</w:t>
      </w:r>
      <w:r w:rsidR="00A66956" w:rsidRPr="00E42EEA">
        <w:rPr>
          <w:rFonts w:ascii="Arial" w:hAnsi="Arial" w:cs="Arial"/>
          <w:sz w:val="24"/>
          <w:szCs w:val="24"/>
        </w:rPr>
        <w:t xml:space="preserve"> and management</w:t>
      </w:r>
      <w:r w:rsidR="00A71442" w:rsidRPr="00E42EEA">
        <w:rPr>
          <w:rFonts w:ascii="Arial" w:hAnsi="Arial" w:cs="Arial"/>
          <w:sz w:val="24"/>
          <w:szCs w:val="24"/>
        </w:rPr>
        <w:t xml:space="preserve"> of lifestyle related </w:t>
      </w:r>
      <w:r w:rsidR="00A66956" w:rsidRPr="00E42EEA">
        <w:rPr>
          <w:rFonts w:ascii="Arial" w:hAnsi="Arial" w:cs="Arial"/>
          <w:sz w:val="24"/>
          <w:szCs w:val="24"/>
        </w:rPr>
        <w:t>health conditions (such as heart disease, stroke, cancer and type 2 diabetes) will increase.</w:t>
      </w:r>
    </w:p>
    <w:p w14:paraId="3F9B6F53" w14:textId="0EF74B4C" w:rsidR="00DA05D7" w:rsidRPr="00530477" w:rsidRDefault="00DA05D7" w:rsidP="00530477">
      <w:pPr>
        <w:ind w:left="709" w:hanging="709"/>
        <w:jc w:val="both"/>
        <w:rPr>
          <w:rFonts w:ascii="Arial" w:hAnsi="Arial" w:cs="Arial"/>
          <w:sz w:val="24"/>
          <w:szCs w:val="24"/>
        </w:rPr>
      </w:pPr>
      <w:r>
        <w:rPr>
          <w:rFonts w:ascii="Arial" w:hAnsi="Arial" w:cs="Arial"/>
          <w:sz w:val="24"/>
          <w:szCs w:val="24"/>
        </w:rPr>
        <w:t>5.8</w:t>
      </w:r>
      <w:r>
        <w:rPr>
          <w:rFonts w:ascii="Arial" w:hAnsi="Arial" w:cs="Arial"/>
          <w:sz w:val="24"/>
          <w:szCs w:val="24"/>
        </w:rPr>
        <w:tab/>
        <w:t>The Council will continue to</w:t>
      </w:r>
      <w:r w:rsidR="00351FE1">
        <w:rPr>
          <w:rFonts w:ascii="Arial" w:hAnsi="Arial" w:cs="Arial"/>
          <w:sz w:val="24"/>
          <w:szCs w:val="24"/>
        </w:rPr>
        <w:t xml:space="preserve"> try to secure alternative funding opportunities to mitigate the impact of the proposed funding reduction.</w:t>
      </w:r>
      <w:r>
        <w:rPr>
          <w:rFonts w:ascii="Arial" w:hAnsi="Arial" w:cs="Arial"/>
          <w:sz w:val="24"/>
          <w:szCs w:val="24"/>
        </w:rPr>
        <w:t xml:space="preserve"> </w:t>
      </w:r>
    </w:p>
    <w:p w14:paraId="12349AF8" w14:textId="77777777" w:rsidR="00C46E45" w:rsidRPr="00171D81" w:rsidRDefault="00FB6FF8" w:rsidP="00FB6FF8">
      <w:pPr>
        <w:pStyle w:val="Heading2"/>
        <w:rPr>
          <w:rFonts w:ascii="Arial" w:hAnsi="Arial" w:cs="Arial"/>
          <w:b/>
          <w:color w:val="auto"/>
          <w:sz w:val="24"/>
          <w:szCs w:val="24"/>
        </w:rPr>
      </w:pPr>
      <w:r>
        <w:rPr>
          <w:rFonts w:ascii="Arial" w:hAnsi="Arial" w:cs="Arial"/>
          <w:b/>
          <w:color w:val="auto"/>
          <w:sz w:val="24"/>
          <w:szCs w:val="24"/>
        </w:rPr>
        <w:t xml:space="preserve">6. </w:t>
      </w:r>
      <w:r>
        <w:rPr>
          <w:rFonts w:ascii="Arial" w:hAnsi="Arial" w:cs="Arial"/>
          <w:b/>
          <w:color w:val="auto"/>
          <w:sz w:val="24"/>
          <w:szCs w:val="24"/>
        </w:rPr>
        <w:tab/>
      </w:r>
      <w:r w:rsidR="008A2A1A" w:rsidRPr="00171D81">
        <w:rPr>
          <w:rFonts w:ascii="Arial" w:hAnsi="Arial" w:cs="Arial"/>
          <w:b/>
          <w:color w:val="auto"/>
          <w:sz w:val="24"/>
          <w:szCs w:val="24"/>
        </w:rPr>
        <w:t>Finance</w:t>
      </w:r>
    </w:p>
    <w:p w14:paraId="0729E8C0" w14:textId="49EF612F" w:rsidR="00B877D2" w:rsidRPr="00FB6FF8" w:rsidRDefault="00E057C1" w:rsidP="00FB6FF8">
      <w:pPr>
        <w:pStyle w:val="ListParagraph"/>
        <w:numPr>
          <w:ilvl w:val="1"/>
          <w:numId w:val="12"/>
        </w:numPr>
        <w:ind w:left="709" w:hanging="709"/>
        <w:rPr>
          <w:rFonts w:ascii="Arial" w:hAnsi="Arial" w:cs="Arial"/>
          <w:sz w:val="24"/>
          <w:szCs w:val="24"/>
        </w:rPr>
      </w:pPr>
      <w:r w:rsidRPr="00FB6FF8">
        <w:rPr>
          <w:rFonts w:ascii="Arial" w:hAnsi="Arial" w:cs="Arial"/>
          <w:sz w:val="24"/>
          <w:szCs w:val="24"/>
        </w:rPr>
        <w:t>It is proposed that a saving of £200K will be made from the Living Well contract value. This represents a reduction of 2</w:t>
      </w:r>
      <w:r w:rsidR="00E63319" w:rsidRPr="00FB6FF8">
        <w:rPr>
          <w:rFonts w:ascii="Arial" w:hAnsi="Arial" w:cs="Arial"/>
          <w:sz w:val="24"/>
          <w:szCs w:val="24"/>
        </w:rPr>
        <w:t>2</w:t>
      </w:r>
      <w:r w:rsidRPr="00FB6FF8">
        <w:rPr>
          <w:rFonts w:ascii="Arial" w:hAnsi="Arial" w:cs="Arial"/>
          <w:sz w:val="24"/>
          <w:szCs w:val="24"/>
        </w:rPr>
        <w:t>% from the current budget.</w:t>
      </w:r>
    </w:p>
    <w:p w14:paraId="6DD2BA41" w14:textId="77777777" w:rsidR="00E63319" w:rsidRPr="00E057C1" w:rsidRDefault="00E63319" w:rsidP="00E63319">
      <w:pPr>
        <w:pStyle w:val="ListParagraph"/>
        <w:rPr>
          <w:rFonts w:ascii="Arial" w:hAnsi="Arial" w:cs="Arial"/>
          <w:sz w:val="24"/>
          <w:szCs w:val="24"/>
        </w:rPr>
      </w:pPr>
    </w:p>
    <w:p w14:paraId="48404BC5" w14:textId="43951595" w:rsidR="00E63319" w:rsidRDefault="00E057C1" w:rsidP="00FB6FF8">
      <w:pPr>
        <w:pStyle w:val="ListParagraph"/>
        <w:numPr>
          <w:ilvl w:val="1"/>
          <w:numId w:val="12"/>
        </w:numPr>
        <w:ind w:left="709" w:hanging="709"/>
        <w:rPr>
          <w:rFonts w:ascii="Arial" w:hAnsi="Arial" w:cs="Arial"/>
          <w:sz w:val="24"/>
          <w:szCs w:val="24"/>
        </w:rPr>
      </w:pPr>
      <w:r>
        <w:rPr>
          <w:rFonts w:ascii="Arial" w:hAnsi="Arial" w:cs="Arial"/>
          <w:sz w:val="24"/>
          <w:szCs w:val="24"/>
        </w:rPr>
        <w:t>There are likely to be redundancy costs related to the implem</w:t>
      </w:r>
      <w:r w:rsidR="005D2B17">
        <w:rPr>
          <w:rFonts w:ascii="Arial" w:hAnsi="Arial" w:cs="Arial"/>
          <w:sz w:val="24"/>
          <w:szCs w:val="24"/>
        </w:rPr>
        <w:t>entation costs of this proposal.</w:t>
      </w:r>
    </w:p>
    <w:p w14:paraId="79448823" w14:textId="77777777" w:rsidR="00AD79C0" w:rsidRPr="00AD79C0" w:rsidRDefault="00AD79C0" w:rsidP="00AD79C0">
      <w:pPr>
        <w:pStyle w:val="ListParagraph"/>
        <w:rPr>
          <w:rFonts w:ascii="Arial" w:hAnsi="Arial" w:cs="Arial"/>
          <w:sz w:val="24"/>
          <w:szCs w:val="24"/>
        </w:rPr>
      </w:pPr>
    </w:p>
    <w:p w14:paraId="4969C201" w14:textId="77777777" w:rsidR="00AD79C0" w:rsidRPr="00B40251" w:rsidRDefault="00AD79C0" w:rsidP="00AD79C0">
      <w:pPr>
        <w:pStyle w:val="ListParagraph"/>
        <w:ind w:left="709"/>
        <w:rPr>
          <w:rFonts w:ascii="Arial" w:hAnsi="Arial" w:cs="Arial"/>
          <w:sz w:val="24"/>
          <w:szCs w:val="24"/>
        </w:rPr>
      </w:pPr>
    </w:p>
    <w:p w14:paraId="65A79DA7" w14:textId="77777777" w:rsidR="00B877D2" w:rsidRDefault="00B877D2" w:rsidP="008D6500">
      <w:pPr>
        <w:rPr>
          <w:rFonts w:ascii="Arial" w:hAnsi="Arial" w:cs="Arial"/>
          <w:b/>
          <w:sz w:val="24"/>
          <w:szCs w:val="24"/>
          <w:u w:val="single"/>
        </w:rPr>
      </w:pPr>
      <w:r>
        <w:rPr>
          <w:rFonts w:ascii="Arial" w:hAnsi="Arial" w:cs="Arial"/>
          <w:sz w:val="24"/>
          <w:szCs w:val="24"/>
        </w:rPr>
        <w:t>6</w:t>
      </w:r>
      <w:r w:rsidR="00E057C1">
        <w:rPr>
          <w:rFonts w:ascii="Arial" w:hAnsi="Arial" w:cs="Arial"/>
          <w:sz w:val="24"/>
          <w:szCs w:val="24"/>
        </w:rPr>
        <w:t>.3</w:t>
      </w:r>
      <w:r w:rsidR="008A2A1A" w:rsidRPr="00171D81">
        <w:rPr>
          <w:rFonts w:ascii="Arial" w:hAnsi="Arial" w:cs="Arial"/>
          <w:sz w:val="24"/>
          <w:szCs w:val="24"/>
        </w:rPr>
        <w:tab/>
      </w:r>
      <w:r w:rsidRPr="00B877D2">
        <w:rPr>
          <w:rFonts w:ascii="Arial" w:hAnsi="Arial" w:cs="Arial"/>
          <w:b/>
          <w:sz w:val="24"/>
          <w:szCs w:val="24"/>
          <w:u w:val="single"/>
        </w:rPr>
        <w:t>Table 1</w:t>
      </w:r>
    </w:p>
    <w:tbl>
      <w:tblPr>
        <w:tblW w:w="98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2047"/>
        <w:gridCol w:w="2003"/>
        <w:gridCol w:w="2003"/>
      </w:tblGrid>
      <w:tr w:rsidR="008711B9" w:rsidRPr="00520336" w14:paraId="271E7EDC" w14:textId="77777777" w:rsidTr="00B40251">
        <w:trPr>
          <w:trHeight w:val="641"/>
        </w:trPr>
        <w:tc>
          <w:tcPr>
            <w:tcW w:w="3839" w:type="dxa"/>
            <w:shd w:val="clear" w:color="auto" w:fill="auto"/>
          </w:tcPr>
          <w:p w14:paraId="6A580EBE" w14:textId="77777777" w:rsidR="008711B9" w:rsidRPr="00520336" w:rsidRDefault="008711B9" w:rsidP="00820271">
            <w:pPr>
              <w:pStyle w:val="NoSpacing"/>
              <w:rPr>
                <w:rFonts w:ascii="Arial" w:hAnsi="Arial" w:cs="Arial"/>
                <w:sz w:val="24"/>
                <w:szCs w:val="24"/>
              </w:rPr>
            </w:pPr>
          </w:p>
        </w:tc>
        <w:tc>
          <w:tcPr>
            <w:tcW w:w="2047" w:type="dxa"/>
            <w:shd w:val="clear" w:color="auto" w:fill="auto"/>
          </w:tcPr>
          <w:p w14:paraId="4F3A919F" w14:textId="19B65525" w:rsidR="008711B9" w:rsidRPr="00520336" w:rsidRDefault="0076284E" w:rsidP="00B40251">
            <w:pPr>
              <w:pStyle w:val="NoSpacing"/>
              <w:jc w:val="center"/>
              <w:rPr>
                <w:rFonts w:ascii="Arial" w:hAnsi="Arial" w:cs="Arial"/>
                <w:b/>
                <w:sz w:val="24"/>
                <w:szCs w:val="24"/>
              </w:rPr>
            </w:pPr>
            <w:r>
              <w:rPr>
                <w:rFonts w:ascii="Arial" w:hAnsi="Arial" w:cs="Arial"/>
                <w:b/>
                <w:sz w:val="24"/>
                <w:szCs w:val="24"/>
              </w:rPr>
              <w:t xml:space="preserve">Saving </w:t>
            </w:r>
            <w:r w:rsidR="008711B9">
              <w:rPr>
                <w:rFonts w:ascii="Arial" w:hAnsi="Arial" w:cs="Arial"/>
                <w:b/>
                <w:sz w:val="24"/>
                <w:szCs w:val="24"/>
              </w:rPr>
              <w:t>2025/26</w:t>
            </w:r>
            <w:r w:rsidR="00B40251">
              <w:rPr>
                <w:rFonts w:ascii="Arial" w:hAnsi="Arial" w:cs="Arial"/>
                <w:b/>
                <w:sz w:val="24"/>
                <w:szCs w:val="24"/>
              </w:rPr>
              <w:t xml:space="preserve"> </w:t>
            </w:r>
            <w:r w:rsidR="008711B9">
              <w:rPr>
                <w:rFonts w:ascii="Arial" w:hAnsi="Arial" w:cs="Arial"/>
                <w:b/>
                <w:sz w:val="24"/>
                <w:szCs w:val="24"/>
              </w:rPr>
              <w:t>£m</w:t>
            </w:r>
          </w:p>
        </w:tc>
        <w:tc>
          <w:tcPr>
            <w:tcW w:w="2003" w:type="dxa"/>
            <w:shd w:val="clear" w:color="auto" w:fill="auto"/>
          </w:tcPr>
          <w:p w14:paraId="14F1719B" w14:textId="02ED19C7" w:rsidR="008711B9" w:rsidRDefault="0076284E" w:rsidP="005D1EC8">
            <w:pPr>
              <w:pStyle w:val="NoSpacing"/>
              <w:jc w:val="center"/>
              <w:rPr>
                <w:rFonts w:ascii="Arial" w:hAnsi="Arial" w:cs="Arial"/>
                <w:b/>
                <w:sz w:val="24"/>
                <w:szCs w:val="24"/>
              </w:rPr>
            </w:pPr>
            <w:r>
              <w:rPr>
                <w:rFonts w:ascii="Arial" w:hAnsi="Arial" w:cs="Arial"/>
                <w:b/>
                <w:sz w:val="24"/>
                <w:szCs w:val="24"/>
              </w:rPr>
              <w:t>Saving</w:t>
            </w:r>
          </w:p>
          <w:p w14:paraId="0DA00FEB" w14:textId="77777777" w:rsidR="008711B9" w:rsidRPr="00520336" w:rsidRDefault="008711B9" w:rsidP="005D1EC8">
            <w:pPr>
              <w:pStyle w:val="NoSpacing"/>
              <w:jc w:val="center"/>
              <w:rPr>
                <w:rFonts w:ascii="Arial" w:hAnsi="Arial" w:cs="Arial"/>
                <w:b/>
                <w:sz w:val="24"/>
                <w:szCs w:val="24"/>
              </w:rPr>
            </w:pPr>
            <w:r>
              <w:rPr>
                <w:rFonts w:ascii="Arial" w:hAnsi="Arial" w:cs="Arial"/>
                <w:b/>
                <w:sz w:val="24"/>
                <w:szCs w:val="24"/>
              </w:rPr>
              <w:t>2026/27   £m</w:t>
            </w:r>
          </w:p>
        </w:tc>
        <w:tc>
          <w:tcPr>
            <w:tcW w:w="2003" w:type="dxa"/>
            <w:shd w:val="clear" w:color="auto" w:fill="auto"/>
          </w:tcPr>
          <w:p w14:paraId="508F5E39" w14:textId="5D0296A5" w:rsidR="008711B9" w:rsidRPr="00520336" w:rsidRDefault="0076284E" w:rsidP="005D1EC8">
            <w:pPr>
              <w:pStyle w:val="NoSpacing"/>
              <w:jc w:val="center"/>
              <w:rPr>
                <w:rFonts w:ascii="Arial" w:hAnsi="Arial" w:cs="Arial"/>
                <w:b/>
                <w:sz w:val="24"/>
                <w:szCs w:val="24"/>
              </w:rPr>
            </w:pPr>
            <w:r>
              <w:rPr>
                <w:rFonts w:ascii="Arial" w:hAnsi="Arial" w:cs="Arial"/>
                <w:b/>
                <w:sz w:val="24"/>
                <w:szCs w:val="24"/>
              </w:rPr>
              <w:t xml:space="preserve">Saving </w:t>
            </w:r>
            <w:r w:rsidR="008711B9">
              <w:rPr>
                <w:rFonts w:ascii="Arial" w:hAnsi="Arial" w:cs="Arial"/>
                <w:b/>
                <w:sz w:val="24"/>
                <w:szCs w:val="24"/>
              </w:rPr>
              <w:t>2027/28  £m</w:t>
            </w:r>
          </w:p>
        </w:tc>
      </w:tr>
      <w:tr w:rsidR="008711B9" w:rsidRPr="00520336" w14:paraId="1B384EB7" w14:textId="77777777" w:rsidTr="00B40251">
        <w:trPr>
          <w:trHeight w:val="419"/>
        </w:trPr>
        <w:tc>
          <w:tcPr>
            <w:tcW w:w="3839" w:type="dxa"/>
            <w:shd w:val="clear" w:color="auto" w:fill="auto"/>
          </w:tcPr>
          <w:p w14:paraId="57F582B4" w14:textId="77777777" w:rsidR="008711B9" w:rsidRPr="00FA0589" w:rsidRDefault="008711B9" w:rsidP="00820271">
            <w:pPr>
              <w:pStyle w:val="NoSpacing"/>
              <w:rPr>
                <w:rFonts w:ascii="Arial" w:hAnsi="Arial" w:cs="Arial"/>
                <w:sz w:val="24"/>
                <w:szCs w:val="24"/>
              </w:rPr>
            </w:pPr>
            <w:r w:rsidRPr="00FA0589">
              <w:rPr>
                <w:rFonts w:ascii="Arial" w:hAnsi="Arial" w:cs="Arial"/>
                <w:sz w:val="24"/>
                <w:szCs w:val="24"/>
              </w:rPr>
              <w:t>Income lost (</w:t>
            </w:r>
            <w:r w:rsidRPr="00FA0589">
              <w:rPr>
                <w:rFonts w:ascii="Arial" w:hAnsi="Arial" w:cs="Arial"/>
                <w:i/>
                <w:sz w:val="24"/>
                <w:szCs w:val="24"/>
              </w:rPr>
              <w:t>show as a minus)</w:t>
            </w:r>
          </w:p>
        </w:tc>
        <w:tc>
          <w:tcPr>
            <w:tcW w:w="2047" w:type="dxa"/>
            <w:shd w:val="clear" w:color="auto" w:fill="auto"/>
          </w:tcPr>
          <w:p w14:paraId="00A429DB" w14:textId="77777777" w:rsidR="008711B9" w:rsidRPr="00FA0589" w:rsidRDefault="00EA0E7D" w:rsidP="00820271">
            <w:pPr>
              <w:pStyle w:val="NoSpacing"/>
              <w:rPr>
                <w:rFonts w:ascii="Arial" w:hAnsi="Arial" w:cs="Arial"/>
                <w:sz w:val="24"/>
                <w:szCs w:val="24"/>
              </w:rPr>
            </w:pPr>
            <w:r>
              <w:rPr>
                <w:rFonts w:ascii="Arial" w:hAnsi="Arial" w:cs="Arial"/>
                <w:sz w:val="24"/>
                <w:szCs w:val="24"/>
              </w:rPr>
              <w:t>N/A</w:t>
            </w:r>
          </w:p>
        </w:tc>
        <w:tc>
          <w:tcPr>
            <w:tcW w:w="2003" w:type="dxa"/>
            <w:shd w:val="clear" w:color="auto" w:fill="auto"/>
          </w:tcPr>
          <w:p w14:paraId="34E670B4" w14:textId="77777777" w:rsidR="008711B9" w:rsidRPr="00520336" w:rsidRDefault="008711B9" w:rsidP="00820271">
            <w:pPr>
              <w:pStyle w:val="NoSpacing"/>
              <w:rPr>
                <w:rFonts w:ascii="Arial" w:hAnsi="Arial" w:cs="Arial"/>
                <w:sz w:val="24"/>
                <w:szCs w:val="24"/>
              </w:rPr>
            </w:pPr>
          </w:p>
        </w:tc>
        <w:tc>
          <w:tcPr>
            <w:tcW w:w="2003" w:type="dxa"/>
            <w:shd w:val="clear" w:color="auto" w:fill="auto"/>
          </w:tcPr>
          <w:p w14:paraId="077E8170" w14:textId="77777777" w:rsidR="008711B9" w:rsidRPr="00520336" w:rsidRDefault="008711B9" w:rsidP="00820271">
            <w:pPr>
              <w:pStyle w:val="NoSpacing"/>
              <w:rPr>
                <w:rFonts w:ascii="Arial" w:hAnsi="Arial" w:cs="Arial"/>
                <w:sz w:val="24"/>
                <w:szCs w:val="24"/>
              </w:rPr>
            </w:pPr>
          </w:p>
        </w:tc>
      </w:tr>
      <w:tr w:rsidR="008711B9" w:rsidRPr="00520336" w14:paraId="0BB0AE7F" w14:textId="77777777" w:rsidTr="00B40251">
        <w:trPr>
          <w:trHeight w:val="210"/>
        </w:trPr>
        <w:tc>
          <w:tcPr>
            <w:tcW w:w="3839" w:type="dxa"/>
            <w:shd w:val="clear" w:color="auto" w:fill="auto"/>
          </w:tcPr>
          <w:p w14:paraId="5A3073F8" w14:textId="475A305A" w:rsidR="008711B9" w:rsidRPr="00FA0589" w:rsidRDefault="008711B9" w:rsidP="0076284E">
            <w:pPr>
              <w:pStyle w:val="NoSpacing"/>
              <w:rPr>
                <w:rFonts w:ascii="Arial" w:hAnsi="Arial" w:cs="Arial"/>
                <w:sz w:val="24"/>
                <w:szCs w:val="24"/>
              </w:rPr>
            </w:pPr>
            <w:r w:rsidRPr="00FA0589">
              <w:rPr>
                <w:rFonts w:ascii="Arial" w:hAnsi="Arial" w:cs="Arial"/>
                <w:b/>
                <w:sz w:val="24"/>
                <w:szCs w:val="24"/>
              </w:rPr>
              <w:t xml:space="preserve">Net </w:t>
            </w:r>
            <w:r w:rsidR="0076284E">
              <w:rPr>
                <w:rFonts w:ascii="Arial" w:hAnsi="Arial" w:cs="Arial"/>
                <w:b/>
                <w:sz w:val="24"/>
                <w:szCs w:val="24"/>
              </w:rPr>
              <w:t>Saving</w:t>
            </w:r>
          </w:p>
        </w:tc>
        <w:tc>
          <w:tcPr>
            <w:tcW w:w="2047" w:type="dxa"/>
            <w:shd w:val="clear" w:color="auto" w:fill="auto"/>
          </w:tcPr>
          <w:p w14:paraId="0FDDDD1B" w14:textId="77777777" w:rsidR="008711B9" w:rsidRPr="00FA0589" w:rsidRDefault="00EA0E7D"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0.2</w:t>
            </w:r>
          </w:p>
        </w:tc>
        <w:tc>
          <w:tcPr>
            <w:tcW w:w="2003" w:type="dxa"/>
            <w:shd w:val="clear" w:color="auto" w:fill="auto"/>
          </w:tcPr>
          <w:p w14:paraId="4D781519" w14:textId="77777777" w:rsidR="008711B9" w:rsidRPr="00520336" w:rsidRDefault="006834BF"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w:t>
            </w:r>
            <w:r>
              <w:rPr>
                <w:rFonts w:ascii="Arial" w:hAnsi="Arial" w:cs="Arial"/>
                <w:b/>
                <w:sz w:val="24"/>
                <w:szCs w:val="24"/>
              </w:rPr>
              <w:t>2</w:t>
            </w:r>
          </w:p>
        </w:tc>
        <w:tc>
          <w:tcPr>
            <w:tcW w:w="2003" w:type="dxa"/>
            <w:shd w:val="clear" w:color="auto" w:fill="auto"/>
          </w:tcPr>
          <w:p w14:paraId="12CE3414" w14:textId="77777777" w:rsidR="008711B9" w:rsidRPr="00520336" w:rsidRDefault="006834BF"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w:t>
            </w:r>
            <w:r>
              <w:rPr>
                <w:rFonts w:ascii="Arial" w:hAnsi="Arial" w:cs="Arial"/>
                <w:b/>
                <w:sz w:val="24"/>
                <w:szCs w:val="24"/>
              </w:rPr>
              <w:t>2</w:t>
            </w:r>
          </w:p>
        </w:tc>
      </w:tr>
      <w:tr w:rsidR="008711B9" w:rsidRPr="00520336" w14:paraId="384FE43F" w14:textId="77777777" w:rsidTr="00B40251">
        <w:trPr>
          <w:trHeight w:val="641"/>
        </w:trPr>
        <w:tc>
          <w:tcPr>
            <w:tcW w:w="3839" w:type="dxa"/>
            <w:shd w:val="clear" w:color="auto" w:fill="auto"/>
          </w:tcPr>
          <w:p w14:paraId="1422FFB4" w14:textId="77777777" w:rsidR="008711B9" w:rsidRPr="00FA0589" w:rsidRDefault="008711B9" w:rsidP="00820271">
            <w:pPr>
              <w:pStyle w:val="NoSpacing"/>
              <w:rPr>
                <w:rFonts w:ascii="Arial" w:hAnsi="Arial" w:cs="Arial"/>
                <w:b/>
                <w:sz w:val="24"/>
                <w:szCs w:val="24"/>
              </w:rPr>
            </w:pPr>
            <w:r w:rsidRPr="00FA0589">
              <w:rPr>
                <w:rFonts w:ascii="Arial" w:hAnsi="Arial" w:cs="Arial"/>
                <w:sz w:val="24"/>
                <w:szCs w:val="24"/>
              </w:rPr>
              <w:t xml:space="preserve">Additional income generated </w:t>
            </w:r>
            <w:r w:rsidRPr="00FA0589">
              <w:rPr>
                <w:rFonts w:ascii="Arial" w:hAnsi="Arial" w:cs="Arial"/>
                <w:i/>
                <w:sz w:val="24"/>
                <w:szCs w:val="24"/>
              </w:rPr>
              <w:t>(show as a positive figure)</w:t>
            </w:r>
          </w:p>
        </w:tc>
        <w:tc>
          <w:tcPr>
            <w:tcW w:w="2047" w:type="dxa"/>
            <w:shd w:val="clear" w:color="auto" w:fill="auto"/>
          </w:tcPr>
          <w:p w14:paraId="1DB84D65" w14:textId="77777777" w:rsidR="008711B9" w:rsidRPr="00FA0589" w:rsidRDefault="00EA0E7D" w:rsidP="00820271">
            <w:pPr>
              <w:pStyle w:val="NoSpacing"/>
              <w:rPr>
                <w:rFonts w:ascii="Arial" w:hAnsi="Arial" w:cs="Arial"/>
                <w:sz w:val="24"/>
                <w:szCs w:val="24"/>
              </w:rPr>
            </w:pPr>
            <w:r>
              <w:rPr>
                <w:rFonts w:ascii="Arial" w:hAnsi="Arial" w:cs="Arial"/>
                <w:sz w:val="24"/>
                <w:szCs w:val="24"/>
              </w:rPr>
              <w:t>N/A</w:t>
            </w:r>
          </w:p>
        </w:tc>
        <w:tc>
          <w:tcPr>
            <w:tcW w:w="2003" w:type="dxa"/>
            <w:shd w:val="clear" w:color="auto" w:fill="auto"/>
          </w:tcPr>
          <w:p w14:paraId="427DED97" w14:textId="77777777" w:rsidR="008711B9" w:rsidRPr="00520336" w:rsidRDefault="008711B9" w:rsidP="00820271">
            <w:pPr>
              <w:pStyle w:val="NoSpacing"/>
              <w:rPr>
                <w:rFonts w:ascii="Arial" w:hAnsi="Arial" w:cs="Arial"/>
                <w:sz w:val="24"/>
                <w:szCs w:val="24"/>
              </w:rPr>
            </w:pPr>
          </w:p>
        </w:tc>
        <w:tc>
          <w:tcPr>
            <w:tcW w:w="2003" w:type="dxa"/>
            <w:shd w:val="clear" w:color="auto" w:fill="auto"/>
          </w:tcPr>
          <w:p w14:paraId="741081C9" w14:textId="77777777" w:rsidR="008711B9" w:rsidRPr="00520336" w:rsidRDefault="008711B9" w:rsidP="00820271">
            <w:pPr>
              <w:pStyle w:val="NoSpacing"/>
              <w:rPr>
                <w:rFonts w:ascii="Arial" w:hAnsi="Arial" w:cs="Arial"/>
                <w:sz w:val="24"/>
                <w:szCs w:val="24"/>
              </w:rPr>
            </w:pPr>
          </w:p>
        </w:tc>
      </w:tr>
      <w:tr w:rsidR="008711B9" w:rsidRPr="00520336" w14:paraId="07BA5ADE" w14:textId="77777777" w:rsidTr="00B40251">
        <w:trPr>
          <w:trHeight w:val="210"/>
        </w:trPr>
        <w:tc>
          <w:tcPr>
            <w:tcW w:w="3839" w:type="dxa"/>
            <w:shd w:val="clear" w:color="auto" w:fill="auto"/>
          </w:tcPr>
          <w:p w14:paraId="6BF411D6" w14:textId="69FDD990" w:rsidR="008711B9" w:rsidRPr="00520336" w:rsidRDefault="008711B9" w:rsidP="0076284E">
            <w:pPr>
              <w:pStyle w:val="NoSpacing"/>
              <w:rPr>
                <w:rFonts w:ascii="Arial" w:hAnsi="Arial" w:cs="Arial"/>
                <w:sz w:val="24"/>
                <w:szCs w:val="24"/>
              </w:rPr>
            </w:pPr>
            <w:r w:rsidRPr="00520336">
              <w:rPr>
                <w:rFonts w:ascii="Arial" w:hAnsi="Arial" w:cs="Arial"/>
                <w:b/>
                <w:sz w:val="24"/>
                <w:szCs w:val="24"/>
              </w:rPr>
              <w:t xml:space="preserve">Total </w:t>
            </w:r>
            <w:r w:rsidR="0076284E">
              <w:rPr>
                <w:rFonts w:ascii="Arial" w:hAnsi="Arial" w:cs="Arial"/>
                <w:b/>
                <w:sz w:val="24"/>
                <w:szCs w:val="24"/>
              </w:rPr>
              <w:t>Saving</w:t>
            </w:r>
          </w:p>
        </w:tc>
        <w:tc>
          <w:tcPr>
            <w:tcW w:w="2047" w:type="dxa"/>
            <w:shd w:val="clear" w:color="auto" w:fill="auto"/>
          </w:tcPr>
          <w:p w14:paraId="0D5D2D7D" w14:textId="77777777" w:rsidR="008711B9" w:rsidRPr="00520336" w:rsidRDefault="00EA0E7D"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0.2</w:t>
            </w:r>
          </w:p>
        </w:tc>
        <w:tc>
          <w:tcPr>
            <w:tcW w:w="2003" w:type="dxa"/>
            <w:shd w:val="clear" w:color="auto" w:fill="auto"/>
          </w:tcPr>
          <w:p w14:paraId="4AA6D9DE" w14:textId="77777777" w:rsidR="008711B9" w:rsidRPr="00520336" w:rsidRDefault="006834BF"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w:t>
            </w:r>
            <w:r>
              <w:rPr>
                <w:rFonts w:ascii="Arial" w:hAnsi="Arial" w:cs="Arial"/>
                <w:b/>
                <w:sz w:val="24"/>
                <w:szCs w:val="24"/>
              </w:rPr>
              <w:t>2</w:t>
            </w:r>
          </w:p>
        </w:tc>
        <w:tc>
          <w:tcPr>
            <w:tcW w:w="2003" w:type="dxa"/>
            <w:shd w:val="clear" w:color="auto" w:fill="auto"/>
          </w:tcPr>
          <w:p w14:paraId="7E010218" w14:textId="77777777" w:rsidR="008711B9" w:rsidRPr="00520336" w:rsidRDefault="006834BF"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w:t>
            </w:r>
            <w:r>
              <w:rPr>
                <w:rFonts w:ascii="Arial" w:hAnsi="Arial" w:cs="Arial"/>
                <w:b/>
                <w:sz w:val="24"/>
                <w:szCs w:val="24"/>
              </w:rPr>
              <w:t>2</w:t>
            </w:r>
          </w:p>
        </w:tc>
      </w:tr>
      <w:tr w:rsidR="008711B9" w:rsidRPr="00520336" w14:paraId="232094F1" w14:textId="77777777" w:rsidTr="00B40251">
        <w:trPr>
          <w:trHeight w:val="210"/>
        </w:trPr>
        <w:tc>
          <w:tcPr>
            <w:tcW w:w="3839" w:type="dxa"/>
            <w:shd w:val="clear" w:color="auto" w:fill="auto"/>
          </w:tcPr>
          <w:p w14:paraId="133CABC7" w14:textId="77777777" w:rsidR="008711B9" w:rsidRPr="00520336" w:rsidRDefault="008711B9" w:rsidP="00820271">
            <w:pPr>
              <w:pStyle w:val="NoSpacing"/>
              <w:rPr>
                <w:rFonts w:ascii="Arial" w:hAnsi="Arial" w:cs="Arial"/>
                <w:b/>
                <w:sz w:val="24"/>
                <w:szCs w:val="24"/>
              </w:rPr>
            </w:pPr>
            <w:r w:rsidRPr="00520336">
              <w:rPr>
                <w:rFonts w:ascii="Arial" w:hAnsi="Arial" w:cs="Arial"/>
                <w:sz w:val="24"/>
                <w:szCs w:val="24"/>
              </w:rPr>
              <w:t>Implementation costs</w:t>
            </w:r>
          </w:p>
        </w:tc>
        <w:tc>
          <w:tcPr>
            <w:tcW w:w="2047" w:type="dxa"/>
            <w:shd w:val="clear" w:color="auto" w:fill="auto"/>
          </w:tcPr>
          <w:p w14:paraId="19969C74" w14:textId="77777777" w:rsidR="008711B9" w:rsidRPr="00520336" w:rsidRDefault="00E63319" w:rsidP="00820271">
            <w:pPr>
              <w:pStyle w:val="NoSpacing"/>
              <w:rPr>
                <w:rFonts w:ascii="Arial" w:hAnsi="Arial" w:cs="Arial"/>
                <w:sz w:val="24"/>
                <w:szCs w:val="24"/>
              </w:rPr>
            </w:pPr>
            <w:r>
              <w:rPr>
                <w:rFonts w:ascii="Arial" w:hAnsi="Arial" w:cs="Arial"/>
                <w:sz w:val="24"/>
                <w:szCs w:val="24"/>
              </w:rPr>
              <w:t>£0</w:t>
            </w:r>
          </w:p>
        </w:tc>
        <w:tc>
          <w:tcPr>
            <w:tcW w:w="2003" w:type="dxa"/>
            <w:shd w:val="clear" w:color="auto" w:fill="auto"/>
          </w:tcPr>
          <w:p w14:paraId="41FCD998" w14:textId="77777777" w:rsidR="008711B9" w:rsidRPr="00520336" w:rsidRDefault="006834BF" w:rsidP="00820271">
            <w:pPr>
              <w:pStyle w:val="NoSpacing"/>
              <w:rPr>
                <w:rFonts w:ascii="Arial" w:hAnsi="Arial" w:cs="Arial"/>
                <w:sz w:val="24"/>
                <w:szCs w:val="24"/>
              </w:rPr>
            </w:pPr>
            <w:r>
              <w:rPr>
                <w:rFonts w:ascii="Arial" w:hAnsi="Arial" w:cs="Arial"/>
                <w:sz w:val="24"/>
                <w:szCs w:val="24"/>
              </w:rPr>
              <w:t>£0</w:t>
            </w:r>
          </w:p>
        </w:tc>
        <w:tc>
          <w:tcPr>
            <w:tcW w:w="2003" w:type="dxa"/>
            <w:shd w:val="clear" w:color="auto" w:fill="auto"/>
          </w:tcPr>
          <w:p w14:paraId="1C3472B0" w14:textId="77777777" w:rsidR="008711B9" w:rsidRPr="00520336" w:rsidRDefault="006834BF" w:rsidP="00820271">
            <w:pPr>
              <w:pStyle w:val="NoSpacing"/>
              <w:rPr>
                <w:rFonts w:ascii="Arial" w:hAnsi="Arial" w:cs="Arial"/>
                <w:sz w:val="24"/>
                <w:szCs w:val="24"/>
              </w:rPr>
            </w:pPr>
            <w:r>
              <w:rPr>
                <w:rFonts w:ascii="Arial" w:hAnsi="Arial" w:cs="Arial"/>
                <w:sz w:val="24"/>
                <w:szCs w:val="24"/>
              </w:rPr>
              <w:t>£0</w:t>
            </w:r>
          </w:p>
        </w:tc>
      </w:tr>
      <w:tr w:rsidR="008711B9" w:rsidRPr="00520336" w14:paraId="3403F8C3" w14:textId="77777777" w:rsidTr="00B40251">
        <w:trPr>
          <w:trHeight w:val="419"/>
        </w:trPr>
        <w:tc>
          <w:tcPr>
            <w:tcW w:w="3839" w:type="dxa"/>
            <w:shd w:val="clear" w:color="auto" w:fill="auto"/>
          </w:tcPr>
          <w:p w14:paraId="33FEB493" w14:textId="77777777" w:rsidR="008711B9" w:rsidRPr="00520336" w:rsidRDefault="008711B9" w:rsidP="005D1EC8">
            <w:pPr>
              <w:pStyle w:val="NoSpacing"/>
              <w:rPr>
                <w:rFonts w:ascii="Arial" w:hAnsi="Arial" w:cs="Arial"/>
                <w:b/>
                <w:sz w:val="24"/>
                <w:szCs w:val="24"/>
              </w:rPr>
            </w:pPr>
            <w:r w:rsidRPr="00520336">
              <w:rPr>
                <w:rFonts w:ascii="Arial" w:hAnsi="Arial" w:cs="Arial"/>
                <w:b/>
                <w:sz w:val="24"/>
                <w:szCs w:val="24"/>
              </w:rPr>
              <w:t xml:space="preserve">Total savings less implementation costs </w:t>
            </w:r>
          </w:p>
        </w:tc>
        <w:tc>
          <w:tcPr>
            <w:tcW w:w="2047" w:type="dxa"/>
            <w:shd w:val="clear" w:color="auto" w:fill="auto"/>
          </w:tcPr>
          <w:p w14:paraId="4D6228C5" w14:textId="77777777" w:rsidR="008711B9" w:rsidRPr="00520336" w:rsidRDefault="005D2B17"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0.2</w:t>
            </w:r>
          </w:p>
        </w:tc>
        <w:tc>
          <w:tcPr>
            <w:tcW w:w="2003" w:type="dxa"/>
            <w:shd w:val="clear" w:color="auto" w:fill="auto"/>
          </w:tcPr>
          <w:p w14:paraId="49C2DE57" w14:textId="77777777" w:rsidR="008711B9" w:rsidRPr="00520336" w:rsidRDefault="006834BF"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w:t>
            </w:r>
            <w:r>
              <w:rPr>
                <w:rFonts w:ascii="Arial" w:hAnsi="Arial" w:cs="Arial"/>
                <w:b/>
                <w:sz w:val="24"/>
                <w:szCs w:val="24"/>
              </w:rPr>
              <w:t>2</w:t>
            </w:r>
          </w:p>
        </w:tc>
        <w:tc>
          <w:tcPr>
            <w:tcW w:w="2003" w:type="dxa"/>
            <w:shd w:val="clear" w:color="auto" w:fill="auto"/>
          </w:tcPr>
          <w:p w14:paraId="53D8821A" w14:textId="77777777" w:rsidR="008711B9" w:rsidRPr="00520336" w:rsidRDefault="006834BF" w:rsidP="00E63319">
            <w:pPr>
              <w:pStyle w:val="NoSpacing"/>
              <w:rPr>
                <w:rFonts w:ascii="Arial" w:hAnsi="Arial" w:cs="Arial"/>
                <w:b/>
                <w:sz w:val="24"/>
                <w:szCs w:val="24"/>
              </w:rPr>
            </w:pPr>
            <w:r>
              <w:rPr>
                <w:rFonts w:ascii="Arial" w:hAnsi="Arial" w:cs="Arial"/>
                <w:b/>
                <w:sz w:val="24"/>
                <w:szCs w:val="24"/>
              </w:rPr>
              <w:t>£</w:t>
            </w:r>
            <w:r w:rsidR="00E63319">
              <w:rPr>
                <w:rFonts w:ascii="Arial" w:hAnsi="Arial" w:cs="Arial"/>
                <w:b/>
                <w:sz w:val="24"/>
                <w:szCs w:val="24"/>
              </w:rPr>
              <w:t>0.2</w:t>
            </w:r>
          </w:p>
        </w:tc>
      </w:tr>
    </w:tbl>
    <w:p w14:paraId="176B1819" w14:textId="77777777" w:rsidR="008D6500" w:rsidRPr="00171D81" w:rsidRDefault="008D6500" w:rsidP="008D6500">
      <w:pPr>
        <w:rPr>
          <w:rFonts w:ascii="Arial" w:hAnsi="Arial" w:cs="Arial"/>
          <w:sz w:val="24"/>
          <w:szCs w:val="24"/>
        </w:rPr>
      </w:pPr>
    </w:p>
    <w:p w14:paraId="028846F6" w14:textId="77777777" w:rsidR="00C46E45" w:rsidRPr="00171D81" w:rsidRDefault="008A2A1A" w:rsidP="00FB6FF8">
      <w:pPr>
        <w:pStyle w:val="Heading2"/>
        <w:numPr>
          <w:ilvl w:val="0"/>
          <w:numId w:val="12"/>
        </w:numPr>
        <w:ind w:left="0" w:firstLine="0"/>
        <w:rPr>
          <w:rFonts w:ascii="Arial" w:hAnsi="Arial" w:cs="Arial"/>
          <w:b/>
          <w:color w:val="auto"/>
          <w:sz w:val="24"/>
          <w:szCs w:val="24"/>
        </w:rPr>
      </w:pPr>
      <w:r w:rsidRPr="00171D81">
        <w:rPr>
          <w:rFonts w:ascii="Arial" w:hAnsi="Arial" w:cs="Arial"/>
          <w:b/>
          <w:color w:val="auto"/>
          <w:sz w:val="24"/>
          <w:szCs w:val="24"/>
        </w:rPr>
        <w:t>Legal</w:t>
      </w:r>
    </w:p>
    <w:p w14:paraId="4116F09B" w14:textId="77777777" w:rsidR="008D6500" w:rsidRPr="00171D81" w:rsidRDefault="008A2A1A" w:rsidP="008D6500">
      <w:pPr>
        <w:rPr>
          <w:rFonts w:ascii="Arial" w:hAnsi="Arial" w:cs="Arial"/>
          <w:sz w:val="24"/>
          <w:szCs w:val="24"/>
        </w:rPr>
      </w:pPr>
      <w:r w:rsidRPr="00171D81">
        <w:rPr>
          <w:rFonts w:ascii="Arial" w:hAnsi="Arial" w:cs="Arial"/>
          <w:sz w:val="24"/>
          <w:szCs w:val="24"/>
        </w:rPr>
        <w:t>7.1</w:t>
      </w:r>
      <w:r w:rsidRPr="00171D81">
        <w:rPr>
          <w:rFonts w:ascii="Arial" w:hAnsi="Arial" w:cs="Arial"/>
          <w:sz w:val="24"/>
          <w:szCs w:val="24"/>
        </w:rPr>
        <w:tab/>
      </w:r>
      <w:r w:rsidR="00EA0E7D">
        <w:rPr>
          <w:rFonts w:ascii="Arial" w:hAnsi="Arial" w:cs="Arial"/>
          <w:sz w:val="24"/>
          <w:szCs w:val="24"/>
        </w:rPr>
        <w:t>There are no legal implications relating to this report.</w:t>
      </w:r>
    </w:p>
    <w:p w14:paraId="28194EB7" w14:textId="77777777" w:rsidR="003B489C" w:rsidRPr="00171D81" w:rsidRDefault="008A2A1A" w:rsidP="00FB6FF8">
      <w:pPr>
        <w:pStyle w:val="Heading2"/>
        <w:numPr>
          <w:ilvl w:val="0"/>
          <w:numId w:val="12"/>
        </w:numPr>
        <w:ind w:left="0" w:firstLine="0"/>
        <w:rPr>
          <w:rFonts w:ascii="Arial" w:hAnsi="Arial" w:cs="Arial"/>
          <w:b/>
          <w:color w:val="auto"/>
          <w:sz w:val="24"/>
          <w:szCs w:val="24"/>
        </w:rPr>
      </w:pPr>
      <w:r w:rsidRPr="00171D81">
        <w:rPr>
          <w:rFonts w:ascii="Arial" w:hAnsi="Arial" w:cs="Arial"/>
          <w:b/>
          <w:color w:val="auto"/>
          <w:sz w:val="24"/>
          <w:szCs w:val="24"/>
        </w:rPr>
        <w:t xml:space="preserve">Human resource </w:t>
      </w:r>
    </w:p>
    <w:p w14:paraId="6DED9C3E" w14:textId="0886D6E4" w:rsidR="003B489C" w:rsidRPr="00171D81" w:rsidRDefault="008A2A1A" w:rsidP="00EA0E7D">
      <w:pPr>
        <w:ind w:left="709" w:hanging="709"/>
        <w:rPr>
          <w:rFonts w:ascii="Arial" w:hAnsi="Arial" w:cs="Arial"/>
          <w:sz w:val="24"/>
          <w:szCs w:val="24"/>
        </w:rPr>
      </w:pPr>
      <w:r w:rsidRPr="00171D81">
        <w:rPr>
          <w:rFonts w:ascii="Arial" w:hAnsi="Arial" w:cs="Arial"/>
          <w:sz w:val="24"/>
          <w:szCs w:val="24"/>
        </w:rPr>
        <w:t>8.1</w:t>
      </w:r>
      <w:r w:rsidRPr="00171D81">
        <w:rPr>
          <w:rFonts w:ascii="Arial" w:hAnsi="Arial" w:cs="Arial"/>
          <w:sz w:val="24"/>
          <w:szCs w:val="24"/>
        </w:rPr>
        <w:tab/>
      </w:r>
      <w:r w:rsidR="00EA0E7D">
        <w:rPr>
          <w:rFonts w:ascii="Arial" w:hAnsi="Arial" w:cs="Arial"/>
          <w:sz w:val="24"/>
          <w:szCs w:val="24"/>
        </w:rPr>
        <w:t xml:space="preserve">There will be HR implications for the service provider as a result of the budget reduction. This will </w:t>
      </w:r>
      <w:r w:rsidR="00E63319">
        <w:rPr>
          <w:rFonts w:ascii="Arial" w:hAnsi="Arial" w:cs="Arial"/>
          <w:sz w:val="24"/>
          <w:szCs w:val="24"/>
        </w:rPr>
        <w:t xml:space="preserve">likely </w:t>
      </w:r>
      <w:r w:rsidR="001A3512">
        <w:rPr>
          <w:rFonts w:ascii="Arial" w:hAnsi="Arial" w:cs="Arial"/>
          <w:sz w:val="24"/>
          <w:szCs w:val="24"/>
        </w:rPr>
        <w:t>impact some job roles</w:t>
      </w:r>
      <w:r w:rsidR="009516C8">
        <w:rPr>
          <w:rFonts w:ascii="Arial" w:hAnsi="Arial" w:cs="Arial"/>
          <w:sz w:val="24"/>
          <w:szCs w:val="24"/>
        </w:rPr>
        <w:t>. The</w:t>
      </w:r>
      <w:r w:rsidR="00EA0E7D">
        <w:rPr>
          <w:rFonts w:ascii="Arial" w:hAnsi="Arial" w:cs="Arial"/>
          <w:sz w:val="24"/>
          <w:szCs w:val="24"/>
        </w:rPr>
        <w:t xml:space="preserve"> exact number of staff affected </w:t>
      </w:r>
      <w:r w:rsidR="001A3512">
        <w:rPr>
          <w:rFonts w:ascii="Arial" w:hAnsi="Arial" w:cs="Arial"/>
          <w:sz w:val="24"/>
          <w:szCs w:val="24"/>
        </w:rPr>
        <w:t>will be determined following the consultation</w:t>
      </w:r>
      <w:r w:rsidR="00EA0E7D">
        <w:rPr>
          <w:rFonts w:ascii="Arial" w:hAnsi="Arial" w:cs="Arial"/>
          <w:sz w:val="24"/>
          <w:szCs w:val="24"/>
        </w:rPr>
        <w:t>.</w:t>
      </w:r>
    </w:p>
    <w:p w14:paraId="4F8FE797" w14:textId="77777777" w:rsidR="003B489C" w:rsidRPr="00171D81" w:rsidRDefault="00E63319" w:rsidP="00FB6FF8">
      <w:pPr>
        <w:pStyle w:val="Heading2"/>
        <w:numPr>
          <w:ilvl w:val="0"/>
          <w:numId w:val="12"/>
        </w:numPr>
        <w:ind w:left="0" w:firstLine="0"/>
        <w:rPr>
          <w:rFonts w:ascii="Arial" w:hAnsi="Arial" w:cs="Arial"/>
          <w:b/>
          <w:color w:val="auto"/>
          <w:sz w:val="24"/>
          <w:szCs w:val="24"/>
        </w:rPr>
      </w:pPr>
      <w:r>
        <w:rPr>
          <w:rFonts w:ascii="Arial" w:hAnsi="Arial" w:cs="Arial"/>
          <w:b/>
          <w:color w:val="auto"/>
          <w:sz w:val="24"/>
          <w:szCs w:val="24"/>
        </w:rPr>
        <w:t>Sustainability and Equality Impact Assessment</w:t>
      </w:r>
    </w:p>
    <w:p w14:paraId="5EB46970" w14:textId="07199847" w:rsidR="00EA0E7D" w:rsidRPr="00BF0E5A" w:rsidRDefault="00BF0E5A" w:rsidP="004965E1">
      <w:pPr>
        <w:pStyle w:val="ListParagraph"/>
        <w:numPr>
          <w:ilvl w:val="1"/>
          <w:numId w:val="12"/>
        </w:numPr>
        <w:ind w:left="709" w:hanging="709"/>
        <w:rPr>
          <w:rFonts w:ascii="Arial" w:hAnsi="Arial" w:cs="Arial"/>
          <w:sz w:val="24"/>
          <w:szCs w:val="24"/>
        </w:rPr>
      </w:pPr>
      <w:r w:rsidRPr="00BF0E5A">
        <w:rPr>
          <w:rFonts w:ascii="Arial" w:hAnsi="Arial" w:cs="Arial"/>
          <w:sz w:val="24"/>
          <w:szCs w:val="24"/>
        </w:rPr>
        <w:t xml:space="preserve">A sustainability and Equality Impact Assessment identified that the following groups would be disproportionately </w:t>
      </w:r>
      <w:r w:rsidR="002F4865" w:rsidRPr="00BF0E5A">
        <w:rPr>
          <w:rFonts w:ascii="Arial" w:hAnsi="Arial" w:cs="Arial"/>
          <w:sz w:val="24"/>
          <w:szCs w:val="24"/>
        </w:rPr>
        <w:t>affected</w:t>
      </w:r>
      <w:r w:rsidR="002F4865">
        <w:rPr>
          <w:rFonts w:ascii="Arial" w:hAnsi="Arial" w:cs="Arial"/>
          <w:sz w:val="24"/>
          <w:szCs w:val="24"/>
        </w:rPr>
        <w:t>:</w:t>
      </w:r>
      <w:r w:rsidRPr="00BF0E5A">
        <w:rPr>
          <w:rFonts w:ascii="Arial" w:hAnsi="Arial" w:cs="Arial"/>
          <w:sz w:val="24"/>
          <w:szCs w:val="24"/>
        </w:rPr>
        <w:t xml:space="preserve"> older people; </w:t>
      </w:r>
      <w:r w:rsidR="00AC26B0">
        <w:rPr>
          <w:rFonts w:ascii="Arial" w:hAnsi="Arial" w:cs="Arial"/>
          <w:sz w:val="24"/>
          <w:szCs w:val="24"/>
        </w:rPr>
        <w:t xml:space="preserve">disabled people; </w:t>
      </w:r>
      <w:r w:rsidRPr="00BF0E5A">
        <w:rPr>
          <w:rFonts w:ascii="Arial" w:hAnsi="Arial" w:cs="Arial"/>
          <w:sz w:val="24"/>
          <w:szCs w:val="24"/>
        </w:rPr>
        <w:t xml:space="preserve">people living in poverty; </w:t>
      </w:r>
      <w:r w:rsidR="002F4865">
        <w:rPr>
          <w:rFonts w:ascii="Arial" w:hAnsi="Arial" w:cs="Arial"/>
          <w:sz w:val="24"/>
          <w:szCs w:val="24"/>
        </w:rPr>
        <w:t xml:space="preserve">people who are hungry; </w:t>
      </w:r>
      <w:r w:rsidRPr="00BF0E5A">
        <w:rPr>
          <w:rFonts w:ascii="Arial" w:hAnsi="Arial" w:cs="Arial"/>
          <w:sz w:val="24"/>
          <w:szCs w:val="24"/>
        </w:rPr>
        <w:t xml:space="preserve">people with health and wellbeing needs; people who are unemployed. </w:t>
      </w:r>
    </w:p>
    <w:p w14:paraId="4A3DE8DF" w14:textId="77777777" w:rsidR="00247DD5" w:rsidRDefault="008A2A1A" w:rsidP="00FB6FF8">
      <w:pPr>
        <w:pStyle w:val="Heading2"/>
        <w:numPr>
          <w:ilvl w:val="0"/>
          <w:numId w:val="12"/>
        </w:numPr>
        <w:ind w:left="0" w:firstLine="0"/>
        <w:rPr>
          <w:rFonts w:ascii="Arial" w:hAnsi="Arial" w:cs="Arial"/>
          <w:b/>
          <w:color w:val="auto"/>
          <w:sz w:val="24"/>
          <w:szCs w:val="24"/>
        </w:rPr>
      </w:pPr>
      <w:r>
        <w:rPr>
          <w:rFonts w:ascii="Arial" w:hAnsi="Arial" w:cs="Arial"/>
          <w:b/>
          <w:color w:val="auto"/>
          <w:sz w:val="24"/>
          <w:szCs w:val="24"/>
        </w:rPr>
        <w:lastRenderedPageBreak/>
        <w:t>Other considerations (</w:t>
      </w:r>
      <w:r w:rsidR="00171D81">
        <w:rPr>
          <w:rFonts w:ascii="Arial" w:hAnsi="Arial" w:cs="Arial"/>
          <w:b/>
          <w:color w:val="auto"/>
          <w:sz w:val="24"/>
          <w:szCs w:val="24"/>
        </w:rPr>
        <w:t>corporate priorities, r</w:t>
      </w:r>
      <w:r w:rsidR="00256DA7" w:rsidRPr="00171D81">
        <w:rPr>
          <w:rFonts w:ascii="Arial" w:hAnsi="Arial" w:cs="Arial"/>
          <w:b/>
          <w:color w:val="auto"/>
          <w:sz w:val="24"/>
          <w:szCs w:val="24"/>
        </w:rPr>
        <w:t>isks</w:t>
      </w:r>
      <w:r w:rsidR="00B80CA5">
        <w:rPr>
          <w:rFonts w:ascii="Arial" w:hAnsi="Arial" w:cs="Arial"/>
          <w:b/>
          <w:color w:val="auto"/>
          <w:sz w:val="24"/>
          <w:szCs w:val="24"/>
        </w:rPr>
        <w:t>)</w:t>
      </w:r>
    </w:p>
    <w:p w14:paraId="441B7E2A" w14:textId="5D71A7D5" w:rsidR="00247DD5" w:rsidRPr="00E057C1" w:rsidRDefault="00E057C1" w:rsidP="00FB6FF8">
      <w:pPr>
        <w:pStyle w:val="ListParagraph"/>
        <w:numPr>
          <w:ilvl w:val="1"/>
          <w:numId w:val="12"/>
        </w:numPr>
        <w:ind w:left="709" w:hanging="709"/>
        <w:rPr>
          <w:rFonts w:ascii="Arial" w:hAnsi="Arial" w:cs="Arial"/>
          <w:sz w:val="24"/>
          <w:szCs w:val="24"/>
        </w:rPr>
      </w:pPr>
      <w:r w:rsidRPr="00E057C1">
        <w:rPr>
          <w:rFonts w:ascii="Arial" w:hAnsi="Arial" w:cs="Arial"/>
          <w:sz w:val="24"/>
          <w:szCs w:val="24"/>
        </w:rPr>
        <w:t>This proposal will impact on the council’s ability to deliver the priorities within the corporate plan relating to improving the health and wellbeing of residents in the borough.</w:t>
      </w:r>
    </w:p>
    <w:p w14:paraId="6DC3F236" w14:textId="77777777" w:rsidR="000B0645" w:rsidRDefault="000B0645" w:rsidP="00B1531A">
      <w:pPr>
        <w:rPr>
          <w:rFonts w:ascii="Arial" w:hAnsi="Arial" w:cs="Arial"/>
          <w:sz w:val="24"/>
          <w:szCs w:val="24"/>
        </w:rPr>
        <w:sectPr w:rsidR="000B0645" w:rsidSect="003E230D">
          <w:type w:val="continuous"/>
          <w:pgSz w:w="11906" w:h="16838" w:code="9"/>
          <w:pgMar w:top="1440" w:right="1440" w:bottom="1440" w:left="1440" w:header="709" w:footer="709" w:gutter="0"/>
          <w:cols w:space="708"/>
          <w:docGrid w:linePitch="360"/>
        </w:sectPr>
      </w:pPr>
    </w:p>
    <w:p w14:paraId="11300379" w14:textId="77777777" w:rsidR="00B81269" w:rsidRPr="00171D81" w:rsidRDefault="00B81269" w:rsidP="00B81269">
      <w:pPr>
        <w:tabs>
          <w:tab w:val="left" w:pos="2235"/>
        </w:tabs>
        <w:rPr>
          <w:rFonts w:ascii="Arial" w:hAnsi="Arial" w:cs="Arial"/>
          <w:sz w:val="24"/>
          <w:szCs w:val="24"/>
        </w:rPr>
      </w:pPr>
    </w:p>
    <w:sectPr w:rsidR="00B81269" w:rsidRPr="00171D81" w:rsidSect="003E230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1BC"/>
    <w:multiLevelType w:val="hybridMultilevel"/>
    <w:tmpl w:val="8A8CBCD4"/>
    <w:lvl w:ilvl="0" w:tplc="6BE831CE">
      <w:start w:val="1"/>
      <w:numFmt w:val="decimal"/>
      <w:lvlText w:val="%1."/>
      <w:lvlJc w:val="left"/>
      <w:pPr>
        <w:ind w:left="720" w:hanging="360"/>
      </w:pPr>
      <w:rPr>
        <w:rFonts w:hint="default"/>
      </w:rPr>
    </w:lvl>
    <w:lvl w:ilvl="1" w:tplc="F4A85D92" w:tentative="1">
      <w:start w:val="1"/>
      <w:numFmt w:val="lowerLetter"/>
      <w:lvlText w:val="%2."/>
      <w:lvlJc w:val="left"/>
      <w:pPr>
        <w:ind w:left="1440" w:hanging="360"/>
      </w:pPr>
    </w:lvl>
    <w:lvl w:ilvl="2" w:tplc="0AFE20EA" w:tentative="1">
      <w:start w:val="1"/>
      <w:numFmt w:val="lowerRoman"/>
      <w:lvlText w:val="%3."/>
      <w:lvlJc w:val="right"/>
      <w:pPr>
        <w:ind w:left="2160" w:hanging="180"/>
      </w:pPr>
    </w:lvl>
    <w:lvl w:ilvl="3" w:tplc="FACAD508" w:tentative="1">
      <w:start w:val="1"/>
      <w:numFmt w:val="decimal"/>
      <w:lvlText w:val="%4."/>
      <w:lvlJc w:val="left"/>
      <w:pPr>
        <w:ind w:left="2880" w:hanging="360"/>
      </w:pPr>
    </w:lvl>
    <w:lvl w:ilvl="4" w:tplc="3F7E13E6" w:tentative="1">
      <w:start w:val="1"/>
      <w:numFmt w:val="lowerLetter"/>
      <w:lvlText w:val="%5."/>
      <w:lvlJc w:val="left"/>
      <w:pPr>
        <w:ind w:left="3600" w:hanging="360"/>
      </w:pPr>
    </w:lvl>
    <w:lvl w:ilvl="5" w:tplc="E3D885CE" w:tentative="1">
      <w:start w:val="1"/>
      <w:numFmt w:val="lowerRoman"/>
      <w:lvlText w:val="%6."/>
      <w:lvlJc w:val="right"/>
      <w:pPr>
        <w:ind w:left="4320" w:hanging="180"/>
      </w:pPr>
    </w:lvl>
    <w:lvl w:ilvl="6" w:tplc="D3389658" w:tentative="1">
      <w:start w:val="1"/>
      <w:numFmt w:val="decimal"/>
      <w:lvlText w:val="%7."/>
      <w:lvlJc w:val="left"/>
      <w:pPr>
        <w:ind w:left="5040" w:hanging="360"/>
      </w:pPr>
    </w:lvl>
    <w:lvl w:ilvl="7" w:tplc="55A40DCA" w:tentative="1">
      <w:start w:val="1"/>
      <w:numFmt w:val="lowerLetter"/>
      <w:lvlText w:val="%8."/>
      <w:lvlJc w:val="left"/>
      <w:pPr>
        <w:ind w:left="5760" w:hanging="360"/>
      </w:pPr>
    </w:lvl>
    <w:lvl w:ilvl="8" w:tplc="4E86C16A" w:tentative="1">
      <w:start w:val="1"/>
      <w:numFmt w:val="lowerRoman"/>
      <w:lvlText w:val="%9."/>
      <w:lvlJc w:val="right"/>
      <w:pPr>
        <w:ind w:left="6480" w:hanging="180"/>
      </w:pPr>
    </w:lvl>
  </w:abstractNum>
  <w:abstractNum w:abstractNumId="1" w15:restartNumberingAfterBreak="0">
    <w:nsid w:val="21A272E2"/>
    <w:multiLevelType w:val="multilevel"/>
    <w:tmpl w:val="3DBE2B5C"/>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143157"/>
    <w:multiLevelType w:val="multilevel"/>
    <w:tmpl w:val="4022BB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3F07F7"/>
    <w:multiLevelType w:val="multilevel"/>
    <w:tmpl w:val="9354840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hint="default"/>
      </w:rPr>
    </w:lvl>
    <w:lvl w:ilvl="2">
      <w:start w:val="1"/>
      <w:numFmt w:val="none"/>
      <w:lvlText w:val="%1%2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1(%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780418"/>
    <w:multiLevelType w:val="hybridMultilevel"/>
    <w:tmpl w:val="4C7ECD24"/>
    <w:lvl w:ilvl="0" w:tplc="703AD61E">
      <w:start w:val="1"/>
      <w:numFmt w:val="decimal"/>
      <w:lvlText w:val="%1."/>
      <w:lvlJc w:val="left"/>
      <w:pPr>
        <w:ind w:left="360" w:hanging="360"/>
      </w:pPr>
      <w:rPr>
        <w:rFonts w:hint="default"/>
      </w:rPr>
    </w:lvl>
    <w:lvl w:ilvl="1" w:tplc="DD6874C4" w:tentative="1">
      <w:start w:val="1"/>
      <w:numFmt w:val="lowerLetter"/>
      <w:lvlText w:val="%2."/>
      <w:lvlJc w:val="left"/>
      <w:pPr>
        <w:ind w:left="1440" w:hanging="360"/>
      </w:pPr>
    </w:lvl>
    <w:lvl w:ilvl="2" w:tplc="FE56F29A" w:tentative="1">
      <w:start w:val="1"/>
      <w:numFmt w:val="lowerRoman"/>
      <w:lvlText w:val="%3."/>
      <w:lvlJc w:val="right"/>
      <w:pPr>
        <w:ind w:left="2160" w:hanging="180"/>
      </w:pPr>
    </w:lvl>
    <w:lvl w:ilvl="3" w:tplc="C63A2E7E" w:tentative="1">
      <w:start w:val="1"/>
      <w:numFmt w:val="decimal"/>
      <w:lvlText w:val="%4."/>
      <w:lvlJc w:val="left"/>
      <w:pPr>
        <w:ind w:left="2880" w:hanging="360"/>
      </w:pPr>
    </w:lvl>
    <w:lvl w:ilvl="4" w:tplc="F4A40238" w:tentative="1">
      <w:start w:val="1"/>
      <w:numFmt w:val="lowerLetter"/>
      <w:lvlText w:val="%5."/>
      <w:lvlJc w:val="left"/>
      <w:pPr>
        <w:ind w:left="3600" w:hanging="360"/>
      </w:pPr>
    </w:lvl>
    <w:lvl w:ilvl="5" w:tplc="A1BE679A" w:tentative="1">
      <w:start w:val="1"/>
      <w:numFmt w:val="lowerRoman"/>
      <w:lvlText w:val="%6."/>
      <w:lvlJc w:val="right"/>
      <w:pPr>
        <w:ind w:left="4320" w:hanging="180"/>
      </w:pPr>
    </w:lvl>
    <w:lvl w:ilvl="6" w:tplc="03DA0C0E" w:tentative="1">
      <w:start w:val="1"/>
      <w:numFmt w:val="decimal"/>
      <w:lvlText w:val="%7."/>
      <w:lvlJc w:val="left"/>
      <w:pPr>
        <w:ind w:left="5040" w:hanging="360"/>
      </w:pPr>
    </w:lvl>
    <w:lvl w:ilvl="7" w:tplc="CC101E08" w:tentative="1">
      <w:start w:val="1"/>
      <w:numFmt w:val="lowerLetter"/>
      <w:lvlText w:val="%8."/>
      <w:lvlJc w:val="left"/>
      <w:pPr>
        <w:ind w:left="5760" w:hanging="360"/>
      </w:pPr>
    </w:lvl>
    <w:lvl w:ilvl="8" w:tplc="789A185A" w:tentative="1">
      <w:start w:val="1"/>
      <w:numFmt w:val="lowerRoman"/>
      <w:lvlText w:val="%9."/>
      <w:lvlJc w:val="right"/>
      <w:pPr>
        <w:ind w:left="6480" w:hanging="180"/>
      </w:pPr>
    </w:lvl>
  </w:abstractNum>
  <w:abstractNum w:abstractNumId="5" w15:restartNumberingAfterBreak="0">
    <w:nsid w:val="4B7D39F4"/>
    <w:multiLevelType w:val="hybridMultilevel"/>
    <w:tmpl w:val="1436ACC8"/>
    <w:lvl w:ilvl="0" w:tplc="A1F251F8">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9E857E7"/>
    <w:multiLevelType w:val="hybridMultilevel"/>
    <w:tmpl w:val="FC18BF08"/>
    <w:lvl w:ilvl="0" w:tplc="41B409C2">
      <w:start w:val="1"/>
      <w:numFmt w:val="decimal"/>
      <w:lvlText w:val="%1."/>
      <w:lvlJc w:val="left"/>
      <w:pPr>
        <w:ind w:left="720" w:hanging="360"/>
      </w:pPr>
      <w:rPr>
        <w:rFonts w:hint="default"/>
      </w:rPr>
    </w:lvl>
    <w:lvl w:ilvl="1" w:tplc="C8E48760" w:tentative="1">
      <w:start w:val="1"/>
      <w:numFmt w:val="lowerLetter"/>
      <w:lvlText w:val="%2."/>
      <w:lvlJc w:val="left"/>
      <w:pPr>
        <w:ind w:left="1440" w:hanging="360"/>
      </w:pPr>
    </w:lvl>
    <w:lvl w:ilvl="2" w:tplc="DE6C79B6" w:tentative="1">
      <w:start w:val="1"/>
      <w:numFmt w:val="lowerRoman"/>
      <w:lvlText w:val="%3."/>
      <w:lvlJc w:val="right"/>
      <w:pPr>
        <w:ind w:left="2160" w:hanging="180"/>
      </w:pPr>
    </w:lvl>
    <w:lvl w:ilvl="3" w:tplc="E12273B4" w:tentative="1">
      <w:start w:val="1"/>
      <w:numFmt w:val="decimal"/>
      <w:lvlText w:val="%4."/>
      <w:lvlJc w:val="left"/>
      <w:pPr>
        <w:ind w:left="2880" w:hanging="360"/>
      </w:pPr>
    </w:lvl>
    <w:lvl w:ilvl="4" w:tplc="60B8027E" w:tentative="1">
      <w:start w:val="1"/>
      <w:numFmt w:val="lowerLetter"/>
      <w:lvlText w:val="%5."/>
      <w:lvlJc w:val="left"/>
      <w:pPr>
        <w:ind w:left="3600" w:hanging="360"/>
      </w:pPr>
    </w:lvl>
    <w:lvl w:ilvl="5" w:tplc="0AA80CFA" w:tentative="1">
      <w:start w:val="1"/>
      <w:numFmt w:val="lowerRoman"/>
      <w:lvlText w:val="%6."/>
      <w:lvlJc w:val="right"/>
      <w:pPr>
        <w:ind w:left="4320" w:hanging="180"/>
      </w:pPr>
    </w:lvl>
    <w:lvl w:ilvl="6" w:tplc="149E43EA" w:tentative="1">
      <w:start w:val="1"/>
      <w:numFmt w:val="decimal"/>
      <w:lvlText w:val="%7."/>
      <w:lvlJc w:val="left"/>
      <w:pPr>
        <w:ind w:left="5040" w:hanging="360"/>
      </w:pPr>
    </w:lvl>
    <w:lvl w:ilvl="7" w:tplc="B476C6E6" w:tentative="1">
      <w:start w:val="1"/>
      <w:numFmt w:val="lowerLetter"/>
      <w:lvlText w:val="%8."/>
      <w:lvlJc w:val="left"/>
      <w:pPr>
        <w:ind w:left="5760" w:hanging="360"/>
      </w:pPr>
    </w:lvl>
    <w:lvl w:ilvl="8" w:tplc="01DE10E8" w:tentative="1">
      <w:start w:val="1"/>
      <w:numFmt w:val="lowerRoman"/>
      <w:lvlText w:val="%9."/>
      <w:lvlJc w:val="right"/>
      <w:pPr>
        <w:ind w:left="6480" w:hanging="180"/>
      </w:pPr>
    </w:lvl>
  </w:abstractNum>
  <w:abstractNum w:abstractNumId="7" w15:restartNumberingAfterBreak="0">
    <w:nsid w:val="5FF63C05"/>
    <w:multiLevelType w:val="multilevel"/>
    <w:tmpl w:val="1FCAFA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Arial" w:hAnsi="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C7469A3"/>
    <w:multiLevelType w:val="hybridMultilevel"/>
    <w:tmpl w:val="395E25C8"/>
    <w:lvl w:ilvl="0" w:tplc="CA943F22">
      <w:start w:val="1"/>
      <w:numFmt w:val="decimal"/>
      <w:lvlText w:val="%1."/>
      <w:lvlJc w:val="left"/>
      <w:pPr>
        <w:ind w:left="360" w:hanging="360"/>
      </w:pPr>
      <w:rPr>
        <w:rFonts w:hint="default"/>
        <w:b/>
      </w:rPr>
    </w:lvl>
    <w:lvl w:ilvl="1" w:tplc="8946E116" w:tentative="1">
      <w:start w:val="1"/>
      <w:numFmt w:val="lowerLetter"/>
      <w:lvlText w:val="%2."/>
      <w:lvlJc w:val="left"/>
      <w:pPr>
        <w:ind w:left="1080" w:hanging="360"/>
      </w:pPr>
    </w:lvl>
    <w:lvl w:ilvl="2" w:tplc="9348BB8A" w:tentative="1">
      <w:start w:val="1"/>
      <w:numFmt w:val="lowerRoman"/>
      <w:lvlText w:val="%3."/>
      <w:lvlJc w:val="right"/>
      <w:pPr>
        <w:ind w:left="1800" w:hanging="180"/>
      </w:pPr>
    </w:lvl>
    <w:lvl w:ilvl="3" w:tplc="17A2277C" w:tentative="1">
      <w:start w:val="1"/>
      <w:numFmt w:val="decimal"/>
      <w:lvlText w:val="%4."/>
      <w:lvlJc w:val="left"/>
      <w:pPr>
        <w:ind w:left="2520" w:hanging="360"/>
      </w:pPr>
    </w:lvl>
    <w:lvl w:ilvl="4" w:tplc="11C03142" w:tentative="1">
      <w:start w:val="1"/>
      <w:numFmt w:val="lowerLetter"/>
      <w:lvlText w:val="%5."/>
      <w:lvlJc w:val="left"/>
      <w:pPr>
        <w:ind w:left="3240" w:hanging="360"/>
      </w:pPr>
    </w:lvl>
    <w:lvl w:ilvl="5" w:tplc="28D8400C" w:tentative="1">
      <w:start w:val="1"/>
      <w:numFmt w:val="lowerRoman"/>
      <w:lvlText w:val="%6."/>
      <w:lvlJc w:val="right"/>
      <w:pPr>
        <w:ind w:left="3960" w:hanging="180"/>
      </w:pPr>
    </w:lvl>
    <w:lvl w:ilvl="6" w:tplc="69AC8068" w:tentative="1">
      <w:start w:val="1"/>
      <w:numFmt w:val="decimal"/>
      <w:lvlText w:val="%7."/>
      <w:lvlJc w:val="left"/>
      <w:pPr>
        <w:ind w:left="4680" w:hanging="360"/>
      </w:pPr>
    </w:lvl>
    <w:lvl w:ilvl="7" w:tplc="78B42380" w:tentative="1">
      <w:start w:val="1"/>
      <w:numFmt w:val="lowerLetter"/>
      <w:lvlText w:val="%8."/>
      <w:lvlJc w:val="left"/>
      <w:pPr>
        <w:ind w:left="5400" w:hanging="360"/>
      </w:pPr>
    </w:lvl>
    <w:lvl w:ilvl="8" w:tplc="728283BC" w:tentative="1">
      <w:start w:val="1"/>
      <w:numFmt w:val="lowerRoman"/>
      <w:lvlText w:val="%9."/>
      <w:lvlJc w:val="right"/>
      <w:pPr>
        <w:ind w:left="6120" w:hanging="180"/>
      </w:pPr>
    </w:lvl>
  </w:abstractNum>
  <w:abstractNum w:abstractNumId="9" w15:restartNumberingAfterBreak="0">
    <w:nsid w:val="73ED1ACB"/>
    <w:multiLevelType w:val="hybridMultilevel"/>
    <w:tmpl w:val="CDC48EB2"/>
    <w:lvl w:ilvl="0" w:tplc="2506A1E8">
      <w:start w:val="1"/>
      <w:numFmt w:val="decimal"/>
      <w:lvlText w:val="%1."/>
      <w:lvlJc w:val="left"/>
      <w:pPr>
        <w:ind w:left="360" w:hanging="360"/>
      </w:pPr>
      <w:rPr>
        <w:rFonts w:hint="default"/>
      </w:rPr>
    </w:lvl>
    <w:lvl w:ilvl="1" w:tplc="D5EAE9FA" w:tentative="1">
      <w:start w:val="1"/>
      <w:numFmt w:val="lowerLetter"/>
      <w:lvlText w:val="%2."/>
      <w:lvlJc w:val="left"/>
      <w:pPr>
        <w:ind w:left="1440" w:hanging="360"/>
      </w:pPr>
    </w:lvl>
    <w:lvl w:ilvl="2" w:tplc="AEF4686E" w:tentative="1">
      <w:start w:val="1"/>
      <w:numFmt w:val="lowerRoman"/>
      <w:lvlText w:val="%3."/>
      <w:lvlJc w:val="right"/>
      <w:pPr>
        <w:ind w:left="2160" w:hanging="180"/>
      </w:pPr>
    </w:lvl>
    <w:lvl w:ilvl="3" w:tplc="DCE6E7E6" w:tentative="1">
      <w:start w:val="1"/>
      <w:numFmt w:val="decimal"/>
      <w:lvlText w:val="%4."/>
      <w:lvlJc w:val="left"/>
      <w:pPr>
        <w:ind w:left="2880" w:hanging="360"/>
      </w:pPr>
    </w:lvl>
    <w:lvl w:ilvl="4" w:tplc="18140C54" w:tentative="1">
      <w:start w:val="1"/>
      <w:numFmt w:val="lowerLetter"/>
      <w:lvlText w:val="%5."/>
      <w:lvlJc w:val="left"/>
      <w:pPr>
        <w:ind w:left="3600" w:hanging="360"/>
      </w:pPr>
    </w:lvl>
    <w:lvl w:ilvl="5" w:tplc="703081AA" w:tentative="1">
      <w:start w:val="1"/>
      <w:numFmt w:val="lowerRoman"/>
      <w:lvlText w:val="%6."/>
      <w:lvlJc w:val="right"/>
      <w:pPr>
        <w:ind w:left="4320" w:hanging="180"/>
      </w:pPr>
    </w:lvl>
    <w:lvl w:ilvl="6" w:tplc="B3C8879A" w:tentative="1">
      <w:start w:val="1"/>
      <w:numFmt w:val="decimal"/>
      <w:lvlText w:val="%7."/>
      <w:lvlJc w:val="left"/>
      <w:pPr>
        <w:ind w:left="5040" w:hanging="360"/>
      </w:pPr>
    </w:lvl>
    <w:lvl w:ilvl="7" w:tplc="8DAA272C" w:tentative="1">
      <w:start w:val="1"/>
      <w:numFmt w:val="lowerLetter"/>
      <w:lvlText w:val="%8."/>
      <w:lvlJc w:val="left"/>
      <w:pPr>
        <w:ind w:left="5760" w:hanging="360"/>
      </w:pPr>
    </w:lvl>
    <w:lvl w:ilvl="8" w:tplc="2320FC1C" w:tentative="1">
      <w:start w:val="1"/>
      <w:numFmt w:val="lowerRoman"/>
      <w:lvlText w:val="%9."/>
      <w:lvlJc w:val="right"/>
      <w:pPr>
        <w:ind w:left="6480" w:hanging="180"/>
      </w:pPr>
    </w:lvl>
  </w:abstractNum>
  <w:abstractNum w:abstractNumId="10" w15:restartNumberingAfterBreak="0">
    <w:nsid w:val="7C786057"/>
    <w:multiLevelType w:val="hybridMultilevel"/>
    <w:tmpl w:val="F882181C"/>
    <w:lvl w:ilvl="0" w:tplc="F9200B00">
      <w:start w:val="1"/>
      <w:numFmt w:val="decimal"/>
      <w:lvlText w:val="%1."/>
      <w:lvlJc w:val="left"/>
      <w:pPr>
        <w:ind w:left="360" w:hanging="360"/>
      </w:pPr>
      <w:rPr>
        <w:rFonts w:hint="default"/>
      </w:rPr>
    </w:lvl>
    <w:lvl w:ilvl="1" w:tplc="59A0C874" w:tentative="1">
      <w:start w:val="1"/>
      <w:numFmt w:val="lowerLetter"/>
      <w:lvlText w:val="%2."/>
      <w:lvlJc w:val="left"/>
      <w:pPr>
        <w:ind w:left="1080" w:hanging="360"/>
      </w:pPr>
    </w:lvl>
    <w:lvl w:ilvl="2" w:tplc="A5B0D4FA" w:tentative="1">
      <w:start w:val="1"/>
      <w:numFmt w:val="lowerRoman"/>
      <w:lvlText w:val="%3."/>
      <w:lvlJc w:val="right"/>
      <w:pPr>
        <w:ind w:left="1800" w:hanging="180"/>
      </w:pPr>
    </w:lvl>
    <w:lvl w:ilvl="3" w:tplc="3BCEB0C2" w:tentative="1">
      <w:start w:val="1"/>
      <w:numFmt w:val="decimal"/>
      <w:lvlText w:val="%4."/>
      <w:lvlJc w:val="left"/>
      <w:pPr>
        <w:ind w:left="2520" w:hanging="360"/>
      </w:pPr>
    </w:lvl>
    <w:lvl w:ilvl="4" w:tplc="9F0E43DA" w:tentative="1">
      <w:start w:val="1"/>
      <w:numFmt w:val="lowerLetter"/>
      <w:lvlText w:val="%5."/>
      <w:lvlJc w:val="left"/>
      <w:pPr>
        <w:ind w:left="3240" w:hanging="360"/>
      </w:pPr>
    </w:lvl>
    <w:lvl w:ilvl="5" w:tplc="8DD6B394" w:tentative="1">
      <w:start w:val="1"/>
      <w:numFmt w:val="lowerRoman"/>
      <w:lvlText w:val="%6."/>
      <w:lvlJc w:val="right"/>
      <w:pPr>
        <w:ind w:left="3960" w:hanging="180"/>
      </w:pPr>
    </w:lvl>
    <w:lvl w:ilvl="6" w:tplc="A82415EE" w:tentative="1">
      <w:start w:val="1"/>
      <w:numFmt w:val="decimal"/>
      <w:lvlText w:val="%7."/>
      <w:lvlJc w:val="left"/>
      <w:pPr>
        <w:ind w:left="4680" w:hanging="360"/>
      </w:pPr>
    </w:lvl>
    <w:lvl w:ilvl="7" w:tplc="D22098EC" w:tentative="1">
      <w:start w:val="1"/>
      <w:numFmt w:val="lowerLetter"/>
      <w:lvlText w:val="%8."/>
      <w:lvlJc w:val="left"/>
      <w:pPr>
        <w:ind w:left="5400" w:hanging="360"/>
      </w:pPr>
    </w:lvl>
    <w:lvl w:ilvl="8" w:tplc="2506ADA2" w:tentative="1">
      <w:start w:val="1"/>
      <w:numFmt w:val="lowerRoman"/>
      <w:lvlText w:val="%9."/>
      <w:lvlJc w:val="right"/>
      <w:pPr>
        <w:ind w:left="6120" w:hanging="180"/>
      </w:pPr>
    </w:lvl>
  </w:abstractNum>
  <w:abstractNum w:abstractNumId="11" w15:restartNumberingAfterBreak="0">
    <w:nsid w:val="7E902FC8"/>
    <w:multiLevelType w:val="hybridMultilevel"/>
    <w:tmpl w:val="83408B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0"/>
  </w:num>
  <w:num w:numId="2">
    <w:abstractNumId w:val="4"/>
  </w:num>
  <w:num w:numId="3">
    <w:abstractNumId w:val="9"/>
  </w:num>
  <w:num w:numId="4">
    <w:abstractNumId w:val="0"/>
  </w:num>
  <w:num w:numId="5">
    <w:abstractNumId w:val="8"/>
  </w:num>
  <w:num w:numId="6">
    <w:abstractNumId w:val="6"/>
  </w:num>
  <w:num w:numId="7">
    <w:abstractNumId w:val="7"/>
  </w:num>
  <w:num w:numId="8">
    <w:abstractNumId w:val="3"/>
  </w:num>
  <w:num w:numId="9">
    <w:abstractNumId w:val="1"/>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F4"/>
    <w:rsid w:val="00004DA4"/>
    <w:rsid w:val="0000740A"/>
    <w:rsid w:val="00007A15"/>
    <w:rsid w:val="00073CB0"/>
    <w:rsid w:val="000811F6"/>
    <w:rsid w:val="000945FD"/>
    <w:rsid w:val="000A4AD2"/>
    <w:rsid w:val="000B0645"/>
    <w:rsid w:val="000B318A"/>
    <w:rsid w:val="000E0B44"/>
    <w:rsid w:val="001410CB"/>
    <w:rsid w:val="00171D81"/>
    <w:rsid w:val="00193849"/>
    <w:rsid w:val="00196079"/>
    <w:rsid w:val="001A3512"/>
    <w:rsid w:val="001D270F"/>
    <w:rsid w:val="001D2B2C"/>
    <w:rsid w:val="00222F6C"/>
    <w:rsid w:val="00247DD5"/>
    <w:rsid w:val="00252660"/>
    <w:rsid w:val="00256DA7"/>
    <w:rsid w:val="002606C6"/>
    <w:rsid w:val="00275908"/>
    <w:rsid w:val="00281318"/>
    <w:rsid w:val="00284B95"/>
    <w:rsid w:val="002A567A"/>
    <w:rsid w:val="002E1DB0"/>
    <w:rsid w:val="002F4865"/>
    <w:rsid w:val="0030458F"/>
    <w:rsid w:val="00306BB0"/>
    <w:rsid w:val="003508BB"/>
    <w:rsid w:val="00351FE1"/>
    <w:rsid w:val="0035234E"/>
    <w:rsid w:val="00354677"/>
    <w:rsid w:val="00387254"/>
    <w:rsid w:val="003B489C"/>
    <w:rsid w:val="003D7A1A"/>
    <w:rsid w:val="003E230D"/>
    <w:rsid w:val="0041343F"/>
    <w:rsid w:val="00417BE1"/>
    <w:rsid w:val="004529A8"/>
    <w:rsid w:val="00464BF1"/>
    <w:rsid w:val="00483F63"/>
    <w:rsid w:val="00497ABB"/>
    <w:rsid w:val="004A133A"/>
    <w:rsid w:val="004B4E31"/>
    <w:rsid w:val="004C0526"/>
    <w:rsid w:val="00503735"/>
    <w:rsid w:val="0050610B"/>
    <w:rsid w:val="00527956"/>
    <w:rsid w:val="00530477"/>
    <w:rsid w:val="00540DB2"/>
    <w:rsid w:val="00564A19"/>
    <w:rsid w:val="005D1EC8"/>
    <w:rsid w:val="005D2B17"/>
    <w:rsid w:val="00606E38"/>
    <w:rsid w:val="006075DA"/>
    <w:rsid w:val="00627C47"/>
    <w:rsid w:val="006302A9"/>
    <w:rsid w:val="00642A91"/>
    <w:rsid w:val="00644C03"/>
    <w:rsid w:val="006834BF"/>
    <w:rsid w:val="006A4640"/>
    <w:rsid w:val="0076284E"/>
    <w:rsid w:val="00764CEE"/>
    <w:rsid w:val="00773926"/>
    <w:rsid w:val="00792124"/>
    <w:rsid w:val="00792D41"/>
    <w:rsid w:val="0081203D"/>
    <w:rsid w:val="008221F9"/>
    <w:rsid w:val="00835BBE"/>
    <w:rsid w:val="008512A5"/>
    <w:rsid w:val="00857195"/>
    <w:rsid w:val="00857D9D"/>
    <w:rsid w:val="008711B9"/>
    <w:rsid w:val="00882471"/>
    <w:rsid w:val="008829C5"/>
    <w:rsid w:val="008865F3"/>
    <w:rsid w:val="00886D30"/>
    <w:rsid w:val="008A2A1A"/>
    <w:rsid w:val="008D0ED3"/>
    <w:rsid w:val="008D6500"/>
    <w:rsid w:val="008E03E3"/>
    <w:rsid w:val="008F20BC"/>
    <w:rsid w:val="00900EFC"/>
    <w:rsid w:val="00902136"/>
    <w:rsid w:val="00912358"/>
    <w:rsid w:val="0092294C"/>
    <w:rsid w:val="009516C8"/>
    <w:rsid w:val="00966E34"/>
    <w:rsid w:val="009815F4"/>
    <w:rsid w:val="009A3616"/>
    <w:rsid w:val="009F0696"/>
    <w:rsid w:val="009F6F61"/>
    <w:rsid w:val="00A2412F"/>
    <w:rsid w:val="00A50B7C"/>
    <w:rsid w:val="00A575E7"/>
    <w:rsid w:val="00A62C1D"/>
    <w:rsid w:val="00A66956"/>
    <w:rsid w:val="00A71442"/>
    <w:rsid w:val="00A84D12"/>
    <w:rsid w:val="00AA3891"/>
    <w:rsid w:val="00AC26B0"/>
    <w:rsid w:val="00AC4A9E"/>
    <w:rsid w:val="00AD79C0"/>
    <w:rsid w:val="00AE6101"/>
    <w:rsid w:val="00AF6060"/>
    <w:rsid w:val="00B076BE"/>
    <w:rsid w:val="00B13CC2"/>
    <w:rsid w:val="00B1531A"/>
    <w:rsid w:val="00B40251"/>
    <w:rsid w:val="00B508F1"/>
    <w:rsid w:val="00B703D2"/>
    <w:rsid w:val="00B80CA5"/>
    <w:rsid w:val="00B81269"/>
    <w:rsid w:val="00B877D2"/>
    <w:rsid w:val="00BC3CEA"/>
    <w:rsid w:val="00BF0E5A"/>
    <w:rsid w:val="00BF2EE6"/>
    <w:rsid w:val="00C44324"/>
    <w:rsid w:val="00C45026"/>
    <w:rsid w:val="00C46E45"/>
    <w:rsid w:val="00C961B2"/>
    <w:rsid w:val="00C96891"/>
    <w:rsid w:val="00CA01F4"/>
    <w:rsid w:val="00CA0B09"/>
    <w:rsid w:val="00CA0D00"/>
    <w:rsid w:val="00CA7168"/>
    <w:rsid w:val="00CD499B"/>
    <w:rsid w:val="00CD574A"/>
    <w:rsid w:val="00CF3490"/>
    <w:rsid w:val="00D00982"/>
    <w:rsid w:val="00D05BAE"/>
    <w:rsid w:val="00D073C4"/>
    <w:rsid w:val="00D46F2F"/>
    <w:rsid w:val="00D93591"/>
    <w:rsid w:val="00DA05D7"/>
    <w:rsid w:val="00DD129F"/>
    <w:rsid w:val="00E0333C"/>
    <w:rsid w:val="00E057C1"/>
    <w:rsid w:val="00E42EEA"/>
    <w:rsid w:val="00E4500B"/>
    <w:rsid w:val="00E63319"/>
    <w:rsid w:val="00E84E7A"/>
    <w:rsid w:val="00EA0E7D"/>
    <w:rsid w:val="00EA64AA"/>
    <w:rsid w:val="00EE0B8A"/>
    <w:rsid w:val="00F719B8"/>
    <w:rsid w:val="00F76342"/>
    <w:rsid w:val="00FA0589"/>
    <w:rsid w:val="00FB6FF8"/>
    <w:rsid w:val="00FD10F3"/>
    <w:rsid w:val="00FE1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BE19"/>
  <w15:chartTrackingRefBased/>
  <w15:docId w15:val="{FD37DCEB-29B4-453C-A4B6-C55E584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E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E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4C"/>
    <w:pPr>
      <w:ind w:left="720"/>
      <w:contextualSpacing/>
    </w:pPr>
  </w:style>
  <w:style w:type="character" w:customStyle="1" w:styleId="Heading1Char">
    <w:name w:val="Heading 1 Char"/>
    <w:basedOn w:val="DefaultParagraphFont"/>
    <w:link w:val="Heading1"/>
    <w:uiPriority w:val="9"/>
    <w:rsid w:val="00C46E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6E4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F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83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3E230D"/>
  </w:style>
  <w:style w:type="paragraph" w:styleId="NoSpacing">
    <w:name w:val="No Spacing"/>
    <w:uiPriority w:val="1"/>
    <w:qFormat/>
    <w:rsid w:val="00B877D2"/>
    <w:pPr>
      <w:spacing w:after="0" w:line="240" w:lineRule="auto"/>
    </w:pPr>
  </w:style>
  <w:style w:type="character" w:styleId="CommentReference">
    <w:name w:val="annotation reference"/>
    <w:basedOn w:val="DefaultParagraphFont"/>
    <w:uiPriority w:val="99"/>
    <w:semiHidden/>
    <w:unhideWhenUsed/>
    <w:rsid w:val="00E63319"/>
    <w:rPr>
      <w:sz w:val="16"/>
      <w:szCs w:val="16"/>
    </w:rPr>
  </w:style>
  <w:style w:type="paragraph" w:styleId="CommentText">
    <w:name w:val="annotation text"/>
    <w:basedOn w:val="Normal"/>
    <w:link w:val="CommentTextChar"/>
    <w:uiPriority w:val="99"/>
    <w:semiHidden/>
    <w:unhideWhenUsed/>
    <w:rsid w:val="00E63319"/>
    <w:pPr>
      <w:spacing w:line="240" w:lineRule="auto"/>
    </w:pPr>
    <w:rPr>
      <w:sz w:val="20"/>
      <w:szCs w:val="20"/>
    </w:rPr>
  </w:style>
  <w:style w:type="character" w:customStyle="1" w:styleId="CommentTextChar">
    <w:name w:val="Comment Text Char"/>
    <w:basedOn w:val="DefaultParagraphFont"/>
    <w:link w:val="CommentText"/>
    <w:uiPriority w:val="99"/>
    <w:semiHidden/>
    <w:rsid w:val="00E63319"/>
    <w:rPr>
      <w:sz w:val="20"/>
      <w:szCs w:val="20"/>
    </w:rPr>
  </w:style>
  <w:style w:type="paragraph" w:styleId="CommentSubject">
    <w:name w:val="annotation subject"/>
    <w:basedOn w:val="CommentText"/>
    <w:next w:val="CommentText"/>
    <w:link w:val="CommentSubjectChar"/>
    <w:uiPriority w:val="99"/>
    <w:semiHidden/>
    <w:unhideWhenUsed/>
    <w:rsid w:val="00E63319"/>
    <w:rPr>
      <w:b/>
      <w:bCs/>
    </w:rPr>
  </w:style>
  <w:style w:type="character" w:customStyle="1" w:styleId="CommentSubjectChar">
    <w:name w:val="Comment Subject Char"/>
    <w:basedOn w:val="CommentTextChar"/>
    <w:link w:val="CommentSubject"/>
    <w:uiPriority w:val="99"/>
    <w:semiHidden/>
    <w:rsid w:val="00E63319"/>
    <w:rPr>
      <w:b/>
      <w:bCs/>
      <w:sz w:val="20"/>
      <w:szCs w:val="20"/>
    </w:rPr>
  </w:style>
  <w:style w:type="paragraph" w:styleId="BalloonText">
    <w:name w:val="Balloon Text"/>
    <w:basedOn w:val="Normal"/>
    <w:link w:val="BalloonTextChar"/>
    <w:uiPriority w:val="99"/>
    <w:semiHidden/>
    <w:unhideWhenUsed/>
    <w:rsid w:val="00E63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319"/>
    <w:rPr>
      <w:rFonts w:ascii="Segoe UI" w:hAnsi="Segoe UI" w:cs="Segoe UI"/>
      <w:sz w:val="18"/>
      <w:szCs w:val="18"/>
    </w:rPr>
  </w:style>
  <w:style w:type="character" w:styleId="Hyperlink">
    <w:name w:val="Hyperlink"/>
    <w:basedOn w:val="DefaultParagraphFont"/>
    <w:uiPriority w:val="99"/>
    <w:unhideWhenUsed/>
    <w:rsid w:val="00857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6CC7FCE7DB4C8FBA60D14E1BB548" ma:contentTypeVersion="10" ma:contentTypeDescription="Create a new document." ma:contentTypeScope="" ma:versionID="92115123c1750b7e6e4a80d8fb6d7c06">
  <xsd:schema xmlns:xsd="http://www.w3.org/2001/XMLSchema" xmlns:xs="http://www.w3.org/2001/XMLSchema" xmlns:p="http://schemas.microsoft.com/office/2006/metadata/properties" xmlns:ns3="943a5df1-5b5e-4f47-93db-8bafa75c60a0" targetNamespace="http://schemas.microsoft.com/office/2006/metadata/properties" ma:root="true" ma:fieldsID="3f4615d9b72eb420b3b38f6f148375d5" ns3:_="">
    <xsd:import namespace="943a5df1-5b5e-4f47-93db-8bafa75c60a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5df1-5b5e-4f47-93db-8bafa75c60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1A2D-C091-442B-B065-36E01B19F5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6B101-746B-456D-9663-CEF4BEE42C14}">
  <ds:schemaRefs>
    <ds:schemaRef ds:uri="http://schemas.microsoft.com/sharepoint/v3/contenttype/forms"/>
  </ds:schemaRefs>
</ds:datastoreItem>
</file>

<file path=customXml/itemProps3.xml><?xml version="1.0" encoding="utf-8"?>
<ds:datastoreItem xmlns:ds="http://schemas.openxmlformats.org/officeDocument/2006/customXml" ds:itemID="{7222E352-59C8-44D9-BBD3-38CFF486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5df1-5b5e-4f47-93db-8bafa75c6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2C892-DA40-4C66-9F8B-3FE32A81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Committee Report</vt:lpstr>
    </vt:vector>
  </TitlesOfParts>
  <Company>Rochdale BC</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dc:title>
  <dc:creator>Rochdale Borough Council</dc:creator>
  <cp:lastModifiedBy>Ben Jorgensen</cp:lastModifiedBy>
  <cp:revision>2</cp:revision>
  <dcterms:created xsi:type="dcterms:W3CDTF">2025-01-27T12:52:00Z</dcterms:created>
  <dcterms:modified xsi:type="dcterms:W3CDTF">2025-01-27T12:52:00Z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ummarytextplain">
    <vt:lpwstr/>
  </property>
  <property fmtid="{D5CDD505-2E9C-101B-9397-08002B2CF9AE}" pid="3" name="Background1">
    <vt:lpwstr/>
  </property>
  <property fmtid="{D5CDD505-2E9C-101B-9397-08002B2CF9AE}" pid="4" name="Background2">
    <vt:lpwstr/>
  </property>
  <property fmtid="{D5CDD505-2E9C-101B-9397-08002B2CF9AE}" pid="5" name="Background3">
    <vt:lpwstr/>
  </property>
  <property fmtid="{D5CDD505-2E9C-101B-9397-08002B2CF9AE}" pid="6" name="Background4">
    <vt:lpwstr/>
  </property>
  <property fmtid="{D5CDD505-2E9C-101B-9397-08002B2CF9AE}" pid="7" name="CommitteeName">
    <vt:lpwstr>Cabinet</vt:lpwstr>
  </property>
  <property fmtid="{D5CDD505-2E9C-101B-9397-08002B2CF9AE}" pid="8" name="FIELD_REASON_RESTRICTED">
    <vt:lpwstr>FIELD_REASON_RESTRICTED</vt:lpwstr>
  </property>
  <property fmtid="{D5CDD505-2E9C-101B-9397-08002B2CF9AE}" pid="9" name="IssueExemptionClassCode">
    <vt:lpwstr>Full</vt:lpwstr>
  </property>
  <property fmtid="{D5CDD505-2E9C-101B-9397-08002B2CF9AE}" pid="10" name="IssueExemptionClassTitle">
    <vt:lpwstr>Fully exempt</vt:lpwstr>
  </property>
  <property fmtid="{D5CDD505-2E9C-101B-9397-08002B2CF9AE}" pid="11" name="Issueexemptionexplanation">
    <vt:lpwstr>Report will include information relating to financial / business affairs</vt:lpwstr>
  </property>
  <property fmtid="{D5CDD505-2E9C-101B-9397-08002B2CF9AE}" pid="12" name="Issueexplanationexplanation">
    <vt:lpwstr>Issueexplanationexplanation</vt:lpwstr>
  </property>
  <property fmtid="{D5CDD505-2E9C-101B-9397-08002B2CF9AE}" pid="13" name="IssueIsExempt ">
    <vt:lpwstr>IssueIsExempt</vt:lpwstr>
  </property>
  <property fmtid="{D5CDD505-2E9C-101B-9397-08002B2CF9AE}" pid="14" name="IssueisforInfo">
    <vt:lpwstr>N</vt:lpwstr>
  </property>
  <property fmtid="{D5CDD505-2E9C-101B-9397-08002B2CF9AE}" pid="15" name="IssueIsKey">
    <vt:lpwstr>Y</vt:lpwstr>
  </property>
  <property fmtid="{D5CDD505-2E9C-101B-9397-08002B2CF9AE}" pid="16" name="IssueisPFP">
    <vt:lpwstr>N</vt:lpwstr>
  </property>
  <property fmtid="{D5CDD505-2E9C-101B-9397-08002B2CF9AE}" pid="17" name="IssueTemplateName">
    <vt:lpwstr>Committee Report Exec</vt:lpwstr>
  </property>
  <property fmtid="{D5CDD505-2E9C-101B-9397-08002B2CF9AE}" pid="18" name="ISSUETITLE">
    <vt:lpwstr>STAR Procurement Collaboration and Executive Joint Committee</vt:lpwstr>
  </property>
  <property fmtid="{D5CDD505-2E9C-101B-9397-08002B2CF9AE}" pid="19" name="IssueType">
    <vt:lpwstr>K</vt:lpwstr>
  </property>
  <property fmtid="{D5CDD505-2E9C-101B-9397-08002B2CF9AE}" pid="20" name="LeadDirector">
    <vt:lpwstr>Director of Corporate Services</vt:lpwstr>
  </property>
  <property fmtid="{D5CDD505-2E9C-101B-9397-08002B2CF9AE}" pid="21" name="LeadMember">
    <vt:lpwstr>Cabinet Member for Health, Cabinet Member for Finance and Corporate</vt:lpwstr>
  </property>
  <property fmtid="{D5CDD505-2E9C-101B-9397-08002B2CF9AE}" pid="22" name="LeadOfficer">
    <vt:lpwstr>Janine Jenkinson</vt:lpwstr>
  </property>
  <property fmtid="{D5CDD505-2E9C-101B-9397-08002B2CF9AE}" pid="23" name="LeadOfficerEmail">
    <vt:lpwstr>janine.jenkinson@rochdale.gov.uk</vt:lpwstr>
  </property>
  <property fmtid="{D5CDD505-2E9C-101B-9397-08002B2CF9AE}" pid="24" name="LeadOfficerPost">
    <vt:lpwstr/>
  </property>
  <property fmtid="{D5CDD505-2E9C-101B-9397-08002B2CF9AE}" pid="25" name="LeadOfficerTel">
    <vt:lpwstr/>
  </property>
  <property fmtid="{D5CDD505-2E9C-101B-9397-08002B2CF9AE}" pid="26" name="MeetingDate">
    <vt:lpwstr>Tuesday, 27 June 2023</vt:lpwstr>
  </property>
  <property fmtid="{D5CDD505-2E9C-101B-9397-08002B2CF9AE}" pid="27" name="Priority2">
    <vt:lpwstr>Priority2</vt:lpwstr>
  </property>
  <property fmtid="{D5CDD505-2E9C-101B-9397-08002B2CF9AE}" pid="28" name="Priority3">
    <vt:lpwstr>Priority3</vt:lpwstr>
  </property>
  <property fmtid="{D5CDD505-2E9C-101B-9397-08002B2CF9AE}" pid="29" name="ReasonKey">
    <vt:lpwstr>is likely to lead to significant expenditure or savings within a service area, or one that is likely to have a significant impact on the life of a community within the Borough.</vt:lpwstr>
  </property>
  <property fmtid="{D5CDD505-2E9C-101B-9397-08002B2CF9AE}" pid="30" name="ReportAuthor">
    <vt:lpwstr>ReportAuthor</vt:lpwstr>
  </property>
  <property fmtid="{D5CDD505-2E9C-101B-9397-08002B2CF9AE}" pid="31" name="ReportWriter">
    <vt:lpwstr>ReportWriter</vt:lpwstr>
  </property>
  <property fmtid="{D5CDD505-2E9C-101B-9397-08002B2CF9AE}" pid="32" name="Wards">
    <vt:lpwstr>(All Wards);</vt:lpwstr>
  </property>
  <property fmtid="{D5CDD505-2E9C-101B-9397-08002B2CF9AE}" pid="33" name="ContentTypeId">
    <vt:lpwstr>0x010100BB1D6CC7FCE7DB4C8FBA60D14E1BB548</vt:lpwstr>
  </property>
</Properties>
</file>