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53604" w14:textId="49F7BC82" w:rsidR="007D4B09" w:rsidRDefault="007D4B09">
      <w:bookmarkStart w:id="0" w:name="_GoBack"/>
      <w:bookmarkEnd w:id="0"/>
    </w:p>
    <w:p w14:paraId="7A1CCA2E" w14:textId="77777777" w:rsidR="007843D1" w:rsidRDefault="007843D1" w:rsidP="007843D1">
      <w:pPr>
        <w:rPr>
          <w:b/>
          <w:u w:val="single"/>
        </w:rPr>
      </w:pPr>
      <w:r w:rsidRPr="000C5524">
        <w:rPr>
          <w:b/>
          <w:u w:val="single"/>
        </w:rPr>
        <w:t>Equality Impact Assessment</w:t>
      </w:r>
      <w:r>
        <w:rPr>
          <w:b/>
          <w:u w:val="single"/>
        </w:rPr>
        <w:t xml:space="preserve"> </w:t>
      </w:r>
      <w:r w:rsidRPr="000C5524">
        <w:rPr>
          <w:b/>
          <w:u w:val="single"/>
        </w:rPr>
        <w:t>- Specialist Health Improvement Service</w:t>
      </w:r>
      <w:r>
        <w:rPr>
          <w:b/>
          <w:u w:val="single"/>
        </w:rPr>
        <w:t xml:space="preserve"> Budget Reduction</w:t>
      </w:r>
    </w:p>
    <w:p w14:paraId="3D853010" w14:textId="77777777" w:rsidR="007843D1" w:rsidRPr="000C5524" w:rsidRDefault="007843D1" w:rsidP="007843D1">
      <w:r>
        <w:t>Equality Impact Assessment completed January 2025.</w:t>
      </w:r>
    </w:p>
    <w:tbl>
      <w:tblPr>
        <w:tblStyle w:val="TableGrid"/>
        <w:tblW w:w="0" w:type="auto"/>
        <w:tblLook w:val="04A0" w:firstRow="1" w:lastRow="0" w:firstColumn="1" w:lastColumn="0" w:noHBand="0" w:noVBand="1"/>
      </w:tblPr>
      <w:tblGrid>
        <w:gridCol w:w="1555"/>
        <w:gridCol w:w="7461"/>
      </w:tblGrid>
      <w:tr w:rsidR="007843D1" w14:paraId="218B93B1" w14:textId="77777777" w:rsidTr="00422E40">
        <w:tc>
          <w:tcPr>
            <w:tcW w:w="9016" w:type="dxa"/>
            <w:gridSpan w:val="2"/>
          </w:tcPr>
          <w:p w14:paraId="39919846" w14:textId="77777777" w:rsidR="007843D1" w:rsidRPr="005C55A2" w:rsidRDefault="007843D1" w:rsidP="00422E40">
            <w:pPr>
              <w:rPr>
                <w:b/>
              </w:rPr>
            </w:pPr>
            <w:r w:rsidRPr="005C55A2">
              <w:rPr>
                <w:b/>
              </w:rPr>
              <w:t>What impact will this proposal have on the groups protected groups?</w:t>
            </w:r>
          </w:p>
        </w:tc>
      </w:tr>
      <w:tr w:rsidR="007843D1" w14:paraId="5036EFE1" w14:textId="77777777" w:rsidTr="00422E40">
        <w:tc>
          <w:tcPr>
            <w:tcW w:w="1555" w:type="dxa"/>
          </w:tcPr>
          <w:p w14:paraId="02ADB41D" w14:textId="77777777" w:rsidR="007843D1" w:rsidRDefault="007843D1" w:rsidP="00422E40">
            <w:r>
              <w:t>Age</w:t>
            </w:r>
          </w:p>
        </w:tc>
        <w:tc>
          <w:tcPr>
            <w:tcW w:w="7461" w:type="dxa"/>
          </w:tcPr>
          <w:p w14:paraId="5CE36299" w14:textId="77777777" w:rsidR="007843D1" w:rsidRPr="00D02655" w:rsidRDefault="007843D1" w:rsidP="00422E40">
            <w:pPr>
              <w:pStyle w:val="TableParagraph"/>
              <w:spacing w:line="250" w:lineRule="exact"/>
              <w:ind w:left="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The Census 2021 gives the following breakdown of the Borough’s population by age:</w:t>
            </w:r>
          </w:p>
          <w:p w14:paraId="1A4A6BEA" w14:textId="77777777" w:rsidR="007843D1" w:rsidRPr="00D02655" w:rsidRDefault="007843D1" w:rsidP="00422E40">
            <w:pPr>
              <w:pStyle w:val="TableParagraph"/>
              <w:ind w:left="0"/>
              <w:rPr>
                <w:rFonts w:asciiTheme="minorHAnsi" w:eastAsiaTheme="minorHAnsi" w:hAnsiTheme="minorHAnsi" w:cstheme="minorBidi"/>
                <w:lang w:eastAsia="en-US" w:bidi="ar-SA"/>
              </w:rPr>
            </w:pPr>
            <w:r w:rsidRPr="00D02655">
              <w:rPr>
                <w:rFonts w:asciiTheme="minorHAnsi" w:eastAsiaTheme="minorHAnsi" w:hAnsiTheme="minorHAnsi" w:cstheme="minorBidi"/>
                <w:noProof/>
                <w:lang w:bidi="ar-SA"/>
              </w:rPr>
              <mc:AlternateContent>
                <mc:Choice Requires="wps">
                  <w:drawing>
                    <wp:anchor distT="0" distB="0" distL="114300" distR="114300" simplePos="0" relativeHeight="251661312" behindDoc="0" locked="0" layoutInCell="1" allowOverlap="1" wp14:anchorId="2CE5652C" wp14:editId="776711F6">
                      <wp:simplePos x="0" y="0"/>
                      <wp:positionH relativeFrom="page">
                        <wp:posOffset>111125</wp:posOffset>
                      </wp:positionH>
                      <wp:positionV relativeFrom="page">
                        <wp:posOffset>445770</wp:posOffset>
                      </wp:positionV>
                      <wp:extent cx="4616450" cy="18923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A77E" w14:textId="77777777" w:rsidR="007843D1" w:rsidRPr="006D3815" w:rsidRDefault="007843D1" w:rsidP="007843D1">
                                  <w:pPr>
                                    <w:pStyle w:val="BodyText"/>
                                    <w:rPr>
                                      <w:rFonts w:asciiTheme="minorHAnsi" w:eastAsiaTheme="minorHAnsi" w:hAnsiTheme="minorHAnsi" w:cstheme="minorBidi"/>
                                      <w:lang w:val="en-US" w:eastAsia="en-US" w:bidi="ar-SA"/>
                                    </w:rPr>
                                  </w:pPr>
                                  <w:r>
                                    <w:fldChar w:fldCharType="begin"/>
                                  </w:r>
                                  <w:r>
                                    <w:instrText xml:space="preserve"> LINK Excel.Sheet.12 "\\\\r1p-fps04\\strategic\\Public Health\\Public Health Information\\Census\\2021\\Borough Pops by Age and Sex.xlsx" Sheet2!R4C1:R10C4 \a \f 5 \h  \* MERGEFORMAT </w:instrText>
                                  </w:r>
                                  <w:r>
                                    <w:fldChar w:fldCharType="separate"/>
                                  </w:r>
                                </w:p>
                                <w:tbl>
                                  <w:tblPr>
                                    <w:tblStyle w:val="TableGrid"/>
                                    <w:tblW w:w="6658" w:type="dxa"/>
                                    <w:tblLook w:val="04A0" w:firstRow="1" w:lastRow="0" w:firstColumn="1" w:lastColumn="0" w:noHBand="0" w:noVBand="1"/>
                                  </w:tblPr>
                                  <w:tblGrid>
                                    <w:gridCol w:w="1413"/>
                                    <w:gridCol w:w="1276"/>
                                    <w:gridCol w:w="1701"/>
                                    <w:gridCol w:w="2268"/>
                                  </w:tblGrid>
                                  <w:tr w:rsidR="007843D1" w:rsidRPr="006D3815" w14:paraId="523F0000" w14:textId="77777777" w:rsidTr="007843D1">
                                    <w:trPr>
                                      <w:trHeight w:val="674"/>
                                    </w:trPr>
                                    <w:tc>
                                      <w:tcPr>
                                        <w:tcW w:w="1413" w:type="dxa"/>
                                        <w:noWrap/>
                                        <w:hideMark/>
                                      </w:tcPr>
                                      <w:p w14:paraId="7EB577EB" w14:textId="77777777" w:rsidR="007843D1" w:rsidRPr="006D3815" w:rsidRDefault="007843D1" w:rsidP="006D3815">
                                        <w:pPr>
                                          <w:pStyle w:val="BodyText"/>
                                          <w:rPr>
                                            <w:rFonts w:asciiTheme="minorHAnsi" w:hAnsiTheme="minorHAnsi" w:cstheme="minorHAnsi"/>
                                            <w:b/>
                                            <w:bCs/>
                                            <w:color w:val="000000" w:themeColor="text1"/>
                                          </w:rPr>
                                        </w:pPr>
                                        <w:r w:rsidRPr="006D3815">
                                          <w:rPr>
                                            <w:rFonts w:asciiTheme="minorHAnsi" w:hAnsiTheme="minorHAnsi" w:cstheme="minorHAnsi"/>
                                            <w:b/>
                                            <w:bCs/>
                                            <w:color w:val="000000" w:themeColor="text1"/>
                                          </w:rPr>
                                          <w:t>Age Group</w:t>
                                        </w:r>
                                      </w:p>
                                    </w:tc>
                                    <w:tc>
                                      <w:tcPr>
                                        <w:tcW w:w="1276" w:type="dxa"/>
                                        <w:noWrap/>
                                        <w:hideMark/>
                                      </w:tcPr>
                                      <w:p w14:paraId="12C668D6" w14:textId="77777777" w:rsidR="007843D1" w:rsidRPr="006D3815" w:rsidRDefault="007843D1" w:rsidP="006D3815">
                                        <w:pPr>
                                          <w:pStyle w:val="BodyText"/>
                                          <w:rPr>
                                            <w:rFonts w:asciiTheme="minorHAnsi" w:hAnsiTheme="minorHAnsi" w:cstheme="minorHAnsi"/>
                                            <w:b/>
                                            <w:bCs/>
                                            <w:color w:val="000000" w:themeColor="text1"/>
                                          </w:rPr>
                                        </w:pPr>
                                        <w:r w:rsidRPr="006D3815">
                                          <w:rPr>
                                            <w:rFonts w:asciiTheme="minorHAnsi" w:hAnsiTheme="minorHAnsi" w:cstheme="minorHAnsi"/>
                                            <w:b/>
                                            <w:bCs/>
                                            <w:color w:val="000000" w:themeColor="text1"/>
                                          </w:rPr>
                                          <w:t>Numbers in 2021</w:t>
                                        </w:r>
                                      </w:p>
                                    </w:tc>
                                    <w:tc>
                                      <w:tcPr>
                                        <w:tcW w:w="1701" w:type="dxa"/>
                                        <w:noWrap/>
                                        <w:hideMark/>
                                      </w:tcPr>
                                      <w:p w14:paraId="60B093F6" w14:textId="77777777" w:rsidR="007843D1" w:rsidRPr="006D3815" w:rsidRDefault="007843D1" w:rsidP="006D3815">
                                        <w:pPr>
                                          <w:pStyle w:val="BodyText"/>
                                          <w:rPr>
                                            <w:rFonts w:asciiTheme="minorHAnsi" w:hAnsiTheme="minorHAnsi" w:cstheme="minorHAnsi"/>
                                            <w:b/>
                                            <w:bCs/>
                                            <w:color w:val="000000" w:themeColor="text1"/>
                                          </w:rPr>
                                        </w:pPr>
                                        <w:r w:rsidRPr="006D3815">
                                          <w:rPr>
                                            <w:rFonts w:asciiTheme="minorHAnsi" w:hAnsiTheme="minorHAnsi" w:cstheme="minorHAnsi"/>
                                            <w:b/>
                                            <w:bCs/>
                                            <w:color w:val="000000" w:themeColor="text1"/>
                                          </w:rPr>
                                          <w:t>Percentage in 2021</w:t>
                                        </w:r>
                                      </w:p>
                                    </w:tc>
                                    <w:tc>
                                      <w:tcPr>
                                        <w:tcW w:w="2268" w:type="dxa"/>
                                        <w:hideMark/>
                                      </w:tcPr>
                                      <w:p w14:paraId="71292360" w14:textId="77777777" w:rsidR="007843D1" w:rsidRPr="006D3815" w:rsidRDefault="007843D1" w:rsidP="006D3815">
                                        <w:pPr>
                                          <w:pStyle w:val="BodyText"/>
                                          <w:rPr>
                                            <w:rFonts w:asciiTheme="minorHAnsi" w:hAnsiTheme="minorHAnsi" w:cstheme="minorHAnsi"/>
                                            <w:b/>
                                            <w:bCs/>
                                            <w:color w:val="000000" w:themeColor="text1"/>
                                          </w:rPr>
                                        </w:pPr>
                                        <w:r w:rsidRPr="006D3815">
                                          <w:rPr>
                                            <w:rFonts w:asciiTheme="minorHAnsi" w:hAnsiTheme="minorHAnsi" w:cstheme="minorHAnsi"/>
                                            <w:b/>
                                            <w:bCs/>
                                            <w:color w:val="000000" w:themeColor="text1"/>
                                          </w:rPr>
                                          <w:t>Proportional Change from 2011</w:t>
                                        </w:r>
                                      </w:p>
                                    </w:tc>
                                  </w:tr>
                                  <w:tr w:rsidR="007843D1" w:rsidRPr="006D3815" w14:paraId="42268D52" w14:textId="77777777" w:rsidTr="007843D1">
                                    <w:trPr>
                                      <w:trHeight w:val="337"/>
                                    </w:trPr>
                                    <w:tc>
                                      <w:tcPr>
                                        <w:tcW w:w="1413" w:type="dxa"/>
                                        <w:noWrap/>
                                        <w:hideMark/>
                                      </w:tcPr>
                                      <w:p w14:paraId="55EFF004"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0 to 14</w:t>
                                        </w:r>
                                      </w:p>
                                    </w:tc>
                                    <w:tc>
                                      <w:tcPr>
                                        <w:tcW w:w="1276" w:type="dxa"/>
                                        <w:noWrap/>
                                        <w:hideMark/>
                                      </w:tcPr>
                                      <w:p w14:paraId="70D7B87F"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45842</w:t>
                                        </w:r>
                                      </w:p>
                                    </w:tc>
                                    <w:tc>
                                      <w:tcPr>
                                        <w:tcW w:w="1701" w:type="dxa"/>
                                        <w:noWrap/>
                                        <w:hideMark/>
                                      </w:tcPr>
                                      <w:p w14:paraId="1ECDC152"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20.5</w:t>
                                        </w:r>
                                      </w:p>
                                    </w:tc>
                                    <w:tc>
                                      <w:tcPr>
                                        <w:tcW w:w="2268" w:type="dxa"/>
                                        <w:noWrap/>
                                        <w:hideMark/>
                                      </w:tcPr>
                                      <w:p w14:paraId="567E30E4"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9.6%</w:t>
                                        </w:r>
                                      </w:p>
                                    </w:tc>
                                  </w:tr>
                                  <w:tr w:rsidR="007843D1" w:rsidRPr="006D3815" w14:paraId="1B498789" w14:textId="77777777" w:rsidTr="007843D1">
                                    <w:trPr>
                                      <w:trHeight w:val="337"/>
                                    </w:trPr>
                                    <w:tc>
                                      <w:tcPr>
                                        <w:tcW w:w="1413" w:type="dxa"/>
                                        <w:noWrap/>
                                        <w:hideMark/>
                                      </w:tcPr>
                                      <w:p w14:paraId="5C084B3E"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15 to 29</w:t>
                                        </w:r>
                                      </w:p>
                                    </w:tc>
                                    <w:tc>
                                      <w:tcPr>
                                        <w:tcW w:w="1276" w:type="dxa"/>
                                        <w:noWrap/>
                                        <w:hideMark/>
                                      </w:tcPr>
                                      <w:p w14:paraId="453B7C2A"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39738</w:t>
                                        </w:r>
                                      </w:p>
                                    </w:tc>
                                    <w:tc>
                                      <w:tcPr>
                                        <w:tcW w:w="1701" w:type="dxa"/>
                                        <w:noWrap/>
                                        <w:hideMark/>
                                      </w:tcPr>
                                      <w:p w14:paraId="16172DA7"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17.8</w:t>
                                        </w:r>
                                      </w:p>
                                    </w:tc>
                                    <w:tc>
                                      <w:tcPr>
                                        <w:tcW w:w="2268" w:type="dxa"/>
                                        <w:noWrap/>
                                        <w:hideMark/>
                                      </w:tcPr>
                                      <w:p w14:paraId="123F23B5"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-6.6%</w:t>
                                        </w:r>
                                      </w:p>
                                    </w:tc>
                                  </w:tr>
                                  <w:tr w:rsidR="007843D1" w:rsidRPr="006D3815" w14:paraId="50F342E2" w14:textId="77777777" w:rsidTr="007843D1">
                                    <w:trPr>
                                      <w:trHeight w:val="337"/>
                                    </w:trPr>
                                    <w:tc>
                                      <w:tcPr>
                                        <w:tcW w:w="1413" w:type="dxa"/>
                                        <w:noWrap/>
                                        <w:hideMark/>
                                      </w:tcPr>
                                      <w:p w14:paraId="6EE14FC2"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30 to 44</w:t>
                                        </w:r>
                                      </w:p>
                                    </w:tc>
                                    <w:tc>
                                      <w:tcPr>
                                        <w:tcW w:w="1276" w:type="dxa"/>
                                        <w:noWrap/>
                                        <w:hideMark/>
                                      </w:tcPr>
                                      <w:p w14:paraId="54BDC022"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45363</w:t>
                                        </w:r>
                                      </w:p>
                                    </w:tc>
                                    <w:tc>
                                      <w:tcPr>
                                        <w:tcW w:w="1701" w:type="dxa"/>
                                        <w:noWrap/>
                                        <w:hideMark/>
                                      </w:tcPr>
                                      <w:p w14:paraId="0E80BF88"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20.3</w:t>
                                        </w:r>
                                      </w:p>
                                    </w:tc>
                                    <w:tc>
                                      <w:tcPr>
                                        <w:tcW w:w="2268" w:type="dxa"/>
                                        <w:noWrap/>
                                        <w:hideMark/>
                                      </w:tcPr>
                                      <w:p w14:paraId="7C407C73"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5.7%</w:t>
                                        </w:r>
                                      </w:p>
                                    </w:tc>
                                  </w:tr>
                                  <w:tr w:rsidR="007843D1" w:rsidRPr="006D3815" w14:paraId="6A82FE1B" w14:textId="77777777" w:rsidTr="007843D1">
                                    <w:trPr>
                                      <w:trHeight w:val="337"/>
                                    </w:trPr>
                                    <w:tc>
                                      <w:tcPr>
                                        <w:tcW w:w="1413" w:type="dxa"/>
                                        <w:noWrap/>
                                        <w:hideMark/>
                                      </w:tcPr>
                                      <w:p w14:paraId="1F59C2BA"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rPr>
                                          <w:t>45 to 64</w:t>
                                        </w:r>
                                      </w:p>
                                    </w:tc>
                                    <w:tc>
                                      <w:tcPr>
                                        <w:tcW w:w="1276" w:type="dxa"/>
                                        <w:noWrap/>
                                        <w:hideMark/>
                                      </w:tcPr>
                                      <w:p w14:paraId="51901F41"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rPr>
                                          <w:t>55959</w:t>
                                        </w:r>
                                      </w:p>
                                    </w:tc>
                                    <w:tc>
                                      <w:tcPr>
                                        <w:tcW w:w="1701" w:type="dxa"/>
                                        <w:noWrap/>
                                        <w:hideMark/>
                                      </w:tcPr>
                                      <w:p w14:paraId="210BD79B"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rPr>
                                          <w:t>25.0</w:t>
                                        </w:r>
                                      </w:p>
                                    </w:tc>
                                    <w:tc>
                                      <w:tcPr>
                                        <w:tcW w:w="2268" w:type="dxa"/>
                                        <w:noWrap/>
                                        <w:hideMark/>
                                      </w:tcPr>
                                      <w:p w14:paraId="5E5B2ABA"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rPr>
                                          <w:t>4.4%</w:t>
                                        </w:r>
                                      </w:p>
                                    </w:tc>
                                  </w:tr>
                                  <w:tr w:rsidR="007843D1" w:rsidRPr="006D3815" w14:paraId="61FF39D7" w14:textId="77777777" w:rsidTr="007843D1">
                                    <w:trPr>
                                      <w:trHeight w:val="257"/>
                                    </w:trPr>
                                    <w:tc>
                                      <w:tcPr>
                                        <w:tcW w:w="1413" w:type="dxa"/>
                                        <w:noWrap/>
                                        <w:hideMark/>
                                      </w:tcPr>
                                      <w:p w14:paraId="3E5B3829" w14:textId="77777777" w:rsidR="007843D1" w:rsidRPr="006D3815" w:rsidRDefault="007843D1" w:rsidP="006D3815">
                                        <w:pPr>
                                          <w:pStyle w:val="BodyText"/>
                                          <w:rPr>
                                            <w:rFonts w:asciiTheme="minorHAnsi" w:hAnsiTheme="minorHAnsi" w:cstheme="minorHAnsi"/>
                                          </w:rPr>
                                        </w:pPr>
                                        <w:r w:rsidRPr="006D3815">
                                          <w:rPr>
                                            <w:rFonts w:asciiTheme="minorHAnsi" w:hAnsiTheme="minorHAnsi" w:cstheme="minorHAnsi"/>
                                          </w:rPr>
                                          <w:t>65 and Over</w:t>
                                        </w:r>
                                      </w:p>
                                    </w:tc>
                                    <w:tc>
                                      <w:tcPr>
                                        <w:tcW w:w="1276" w:type="dxa"/>
                                        <w:noWrap/>
                                        <w:hideMark/>
                                      </w:tcPr>
                                      <w:p w14:paraId="4C865B61" w14:textId="77777777" w:rsidR="007843D1" w:rsidRPr="006D3815" w:rsidRDefault="007843D1" w:rsidP="006D3815">
                                        <w:pPr>
                                          <w:pStyle w:val="BodyText"/>
                                          <w:rPr>
                                            <w:rFonts w:asciiTheme="minorHAnsi" w:hAnsiTheme="minorHAnsi" w:cstheme="minorHAnsi"/>
                                          </w:rPr>
                                        </w:pPr>
                                        <w:r w:rsidRPr="006D3815">
                                          <w:rPr>
                                            <w:rFonts w:asciiTheme="minorHAnsi" w:hAnsiTheme="minorHAnsi" w:cstheme="minorHAnsi"/>
                                          </w:rPr>
                                          <w:t>36868</w:t>
                                        </w:r>
                                      </w:p>
                                    </w:tc>
                                    <w:tc>
                                      <w:tcPr>
                                        <w:tcW w:w="1701" w:type="dxa"/>
                                        <w:noWrap/>
                                        <w:hideMark/>
                                      </w:tcPr>
                                      <w:p w14:paraId="596C73F3" w14:textId="77777777" w:rsidR="007843D1" w:rsidRPr="006D3815" w:rsidRDefault="007843D1" w:rsidP="006D3815">
                                        <w:pPr>
                                          <w:pStyle w:val="BodyText"/>
                                          <w:rPr>
                                            <w:rFonts w:asciiTheme="minorHAnsi" w:hAnsiTheme="minorHAnsi" w:cstheme="minorHAnsi"/>
                                          </w:rPr>
                                        </w:pPr>
                                        <w:r w:rsidRPr="006D3815">
                                          <w:rPr>
                                            <w:rFonts w:asciiTheme="minorHAnsi" w:hAnsiTheme="minorHAnsi" w:cstheme="minorHAnsi"/>
                                          </w:rPr>
                                          <w:t>16.5</w:t>
                                        </w:r>
                                      </w:p>
                                    </w:tc>
                                    <w:tc>
                                      <w:tcPr>
                                        <w:tcW w:w="2268" w:type="dxa"/>
                                        <w:noWrap/>
                                        <w:hideMark/>
                                      </w:tcPr>
                                      <w:p w14:paraId="30A917B5" w14:textId="77777777" w:rsidR="007843D1" w:rsidRPr="006D3815" w:rsidRDefault="007843D1" w:rsidP="006D3815">
                                        <w:pPr>
                                          <w:pStyle w:val="BodyText"/>
                                          <w:rPr>
                                            <w:rFonts w:asciiTheme="minorHAnsi" w:hAnsiTheme="minorHAnsi" w:cstheme="minorHAnsi"/>
                                            <w:sz w:val="24"/>
                                          </w:rPr>
                                        </w:pPr>
                                        <w:r w:rsidRPr="006D3815">
                                          <w:rPr>
                                            <w:rFonts w:asciiTheme="minorHAnsi" w:hAnsiTheme="minorHAnsi" w:cstheme="minorHAnsi"/>
                                          </w:rPr>
                                          <w:t>19.6%</w:t>
                                        </w:r>
                                      </w:p>
                                    </w:tc>
                                  </w:tr>
                                </w:tbl>
                                <w:p w14:paraId="175AEB10" w14:textId="77777777" w:rsidR="007843D1" w:rsidRDefault="007843D1" w:rsidP="007843D1">
                                  <w:pPr>
                                    <w:pStyle w:val="BodyText"/>
                                  </w:pP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5652C" id="_x0000_t202" coordsize="21600,21600" o:spt="202" path="m,l,21600r21600,l21600,xe">
                      <v:stroke joinstyle="miter"/>
                      <v:path gradientshapeok="t" o:connecttype="rect"/>
                    </v:shapetype>
                    <v:shape id="Text Box 2" o:spid="_x0000_s1026" type="#_x0000_t202" style="position:absolute;margin-left:8.75pt;margin-top:35.1pt;width:363.5pt;height:1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1erw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" filled="f" stroked="f">
                      <v:textbox inset="0,0,0,0">
                        <w:txbxContent>
                          <w:p w14:paraId="4DDBA77E" w14:textId="77777777" w:rsidR="007843D1" w:rsidRPr="006D3815" w:rsidRDefault="007843D1" w:rsidP="007843D1">
                            <w:pPr>
                              <w:pStyle w:val="BodyText"/>
                              <w:rPr>
                                <w:rFonts w:asciiTheme="minorHAnsi" w:eastAsiaTheme="minorHAnsi" w:hAnsiTheme="minorHAnsi" w:cstheme="minorBidi"/>
                                <w:lang w:val="en-US" w:eastAsia="en-US" w:bidi="ar-SA"/>
                              </w:rPr>
                            </w:pPr>
                            <w:r>
                              <w:fldChar w:fldCharType="begin"/>
                            </w:r>
                            <w:r>
                              <w:instrText xml:space="preserve"> LINK Excel.Sheet.12 "\\\\r1p-fps04\\strategic\\Public Health\\Public Health Information\\Census\\2021\\Borough Pops by Age and Sex.xlsx" Sheet2!R4C1:R10C4 \a \f 5 \h  \* MERGEFORMAT </w:instrText>
                            </w:r>
                            <w:r>
                              <w:fldChar w:fldCharType="separate"/>
                            </w:r>
                          </w:p>
                          <w:tbl>
                            <w:tblPr>
                              <w:tblStyle w:val="TableGrid"/>
                              <w:tblW w:w="6658" w:type="dxa"/>
                              <w:tblLook w:val="04A0" w:firstRow="1" w:lastRow="0" w:firstColumn="1" w:lastColumn="0" w:noHBand="0" w:noVBand="1"/>
                            </w:tblPr>
                            <w:tblGrid>
                              <w:gridCol w:w="1413"/>
                              <w:gridCol w:w="1276"/>
                              <w:gridCol w:w="1701"/>
                              <w:gridCol w:w="2268"/>
                            </w:tblGrid>
                            <w:tr w:rsidR="007843D1" w:rsidRPr="006D3815" w14:paraId="523F0000" w14:textId="77777777" w:rsidTr="007843D1">
                              <w:trPr>
                                <w:trHeight w:val="674"/>
                              </w:trPr>
                              <w:tc>
                                <w:tcPr>
                                  <w:tcW w:w="1413" w:type="dxa"/>
                                  <w:noWrap/>
                                  <w:hideMark/>
                                </w:tcPr>
                                <w:p w14:paraId="7EB577EB" w14:textId="77777777" w:rsidR="007843D1" w:rsidRPr="006D3815" w:rsidRDefault="007843D1" w:rsidP="006D3815">
                                  <w:pPr>
                                    <w:pStyle w:val="BodyText"/>
                                    <w:rPr>
                                      <w:rFonts w:asciiTheme="minorHAnsi" w:hAnsiTheme="minorHAnsi" w:cstheme="minorHAnsi"/>
                                      <w:b/>
                                      <w:bCs/>
                                      <w:color w:val="000000" w:themeColor="text1"/>
                                    </w:rPr>
                                  </w:pPr>
                                  <w:r w:rsidRPr="006D3815">
                                    <w:rPr>
                                      <w:rFonts w:asciiTheme="minorHAnsi" w:hAnsiTheme="minorHAnsi" w:cstheme="minorHAnsi"/>
                                      <w:b/>
                                      <w:bCs/>
                                      <w:color w:val="000000" w:themeColor="text1"/>
                                    </w:rPr>
                                    <w:t>Age Group</w:t>
                                  </w:r>
                                </w:p>
                              </w:tc>
                              <w:tc>
                                <w:tcPr>
                                  <w:tcW w:w="1276" w:type="dxa"/>
                                  <w:noWrap/>
                                  <w:hideMark/>
                                </w:tcPr>
                                <w:p w14:paraId="12C668D6" w14:textId="77777777" w:rsidR="007843D1" w:rsidRPr="006D3815" w:rsidRDefault="007843D1" w:rsidP="006D3815">
                                  <w:pPr>
                                    <w:pStyle w:val="BodyText"/>
                                    <w:rPr>
                                      <w:rFonts w:asciiTheme="minorHAnsi" w:hAnsiTheme="minorHAnsi" w:cstheme="minorHAnsi"/>
                                      <w:b/>
                                      <w:bCs/>
                                      <w:color w:val="000000" w:themeColor="text1"/>
                                    </w:rPr>
                                  </w:pPr>
                                  <w:r w:rsidRPr="006D3815">
                                    <w:rPr>
                                      <w:rFonts w:asciiTheme="minorHAnsi" w:hAnsiTheme="minorHAnsi" w:cstheme="minorHAnsi"/>
                                      <w:b/>
                                      <w:bCs/>
                                      <w:color w:val="000000" w:themeColor="text1"/>
                                    </w:rPr>
                                    <w:t>Numbers in 2021</w:t>
                                  </w:r>
                                </w:p>
                              </w:tc>
                              <w:tc>
                                <w:tcPr>
                                  <w:tcW w:w="1701" w:type="dxa"/>
                                  <w:noWrap/>
                                  <w:hideMark/>
                                </w:tcPr>
                                <w:p w14:paraId="60B093F6" w14:textId="77777777" w:rsidR="007843D1" w:rsidRPr="006D3815" w:rsidRDefault="007843D1" w:rsidP="006D3815">
                                  <w:pPr>
                                    <w:pStyle w:val="BodyText"/>
                                    <w:rPr>
                                      <w:rFonts w:asciiTheme="minorHAnsi" w:hAnsiTheme="minorHAnsi" w:cstheme="minorHAnsi"/>
                                      <w:b/>
                                      <w:bCs/>
                                      <w:color w:val="000000" w:themeColor="text1"/>
                                    </w:rPr>
                                  </w:pPr>
                                  <w:r w:rsidRPr="006D3815">
                                    <w:rPr>
                                      <w:rFonts w:asciiTheme="minorHAnsi" w:hAnsiTheme="minorHAnsi" w:cstheme="minorHAnsi"/>
                                      <w:b/>
                                      <w:bCs/>
                                      <w:color w:val="000000" w:themeColor="text1"/>
                                    </w:rPr>
                                    <w:t>Percentage in 2021</w:t>
                                  </w:r>
                                </w:p>
                              </w:tc>
                              <w:tc>
                                <w:tcPr>
                                  <w:tcW w:w="2268" w:type="dxa"/>
                                  <w:hideMark/>
                                </w:tcPr>
                                <w:p w14:paraId="71292360" w14:textId="77777777" w:rsidR="007843D1" w:rsidRPr="006D3815" w:rsidRDefault="007843D1" w:rsidP="006D3815">
                                  <w:pPr>
                                    <w:pStyle w:val="BodyText"/>
                                    <w:rPr>
                                      <w:rFonts w:asciiTheme="minorHAnsi" w:hAnsiTheme="minorHAnsi" w:cstheme="minorHAnsi"/>
                                      <w:b/>
                                      <w:bCs/>
                                      <w:color w:val="000000" w:themeColor="text1"/>
                                    </w:rPr>
                                  </w:pPr>
                                  <w:r w:rsidRPr="006D3815">
                                    <w:rPr>
                                      <w:rFonts w:asciiTheme="minorHAnsi" w:hAnsiTheme="minorHAnsi" w:cstheme="minorHAnsi"/>
                                      <w:b/>
                                      <w:bCs/>
                                      <w:color w:val="000000" w:themeColor="text1"/>
                                    </w:rPr>
                                    <w:t>Proportional Change from 2011</w:t>
                                  </w:r>
                                </w:p>
                              </w:tc>
                            </w:tr>
                            <w:tr w:rsidR="007843D1" w:rsidRPr="006D3815" w14:paraId="42268D52" w14:textId="77777777" w:rsidTr="007843D1">
                              <w:trPr>
                                <w:trHeight w:val="337"/>
                              </w:trPr>
                              <w:tc>
                                <w:tcPr>
                                  <w:tcW w:w="1413" w:type="dxa"/>
                                  <w:noWrap/>
                                  <w:hideMark/>
                                </w:tcPr>
                                <w:p w14:paraId="55EFF004"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0 to 14</w:t>
                                  </w:r>
                                </w:p>
                              </w:tc>
                              <w:tc>
                                <w:tcPr>
                                  <w:tcW w:w="1276" w:type="dxa"/>
                                  <w:noWrap/>
                                  <w:hideMark/>
                                </w:tcPr>
                                <w:p w14:paraId="70D7B87F"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45842</w:t>
                                  </w:r>
                                </w:p>
                              </w:tc>
                              <w:tc>
                                <w:tcPr>
                                  <w:tcW w:w="1701" w:type="dxa"/>
                                  <w:noWrap/>
                                  <w:hideMark/>
                                </w:tcPr>
                                <w:p w14:paraId="1ECDC152"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20.5</w:t>
                                  </w:r>
                                </w:p>
                              </w:tc>
                              <w:tc>
                                <w:tcPr>
                                  <w:tcW w:w="2268" w:type="dxa"/>
                                  <w:noWrap/>
                                  <w:hideMark/>
                                </w:tcPr>
                                <w:p w14:paraId="567E30E4"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9.6%</w:t>
                                  </w:r>
                                </w:p>
                              </w:tc>
                            </w:tr>
                            <w:tr w:rsidR="007843D1" w:rsidRPr="006D3815" w14:paraId="1B498789" w14:textId="77777777" w:rsidTr="007843D1">
                              <w:trPr>
                                <w:trHeight w:val="337"/>
                              </w:trPr>
                              <w:tc>
                                <w:tcPr>
                                  <w:tcW w:w="1413" w:type="dxa"/>
                                  <w:noWrap/>
                                  <w:hideMark/>
                                </w:tcPr>
                                <w:p w14:paraId="5C084B3E"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15 to 29</w:t>
                                  </w:r>
                                </w:p>
                              </w:tc>
                              <w:tc>
                                <w:tcPr>
                                  <w:tcW w:w="1276" w:type="dxa"/>
                                  <w:noWrap/>
                                  <w:hideMark/>
                                </w:tcPr>
                                <w:p w14:paraId="453B7C2A"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39738</w:t>
                                  </w:r>
                                </w:p>
                              </w:tc>
                              <w:tc>
                                <w:tcPr>
                                  <w:tcW w:w="1701" w:type="dxa"/>
                                  <w:noWrap/>
                                  <w:hideMark/>
                                </w:tcPr>
                                <w:p w14:paraId="16172DA7"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17.8</w:t>
                                  </w:r>
                                </w:p>
                              </w:tc>
                              <w:tc>
                                <w:tcPr>
                                  <w:tcW w:w="2268" w:type="dxa"/>
                                  <w:noWrap/>
                                  <w:hideMark/>
                                </w:tcPr>
                                <w:p w14:paraId="123F23B5"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-6.6%</w:t>
                                  </w:r>
                                </w:p>
                              </w:tc>
                            </w:tr>
                            <w:tr w:rsidR="007843D1" w:rsidRPr="006D3815" w14:paraId="50F342E2" w14:textId="77777777" w:rsidTr="007843D1">
                              <w:trPr>
                                <w:trHeight w:val="337"/>
                              </w:trPr>
                              <w:tc>
                                <w:tcPr>
                                  <w:tcW w:w="1413" w:type="dxa"/>
                                  <w:noWrap/>
                                  <w:hideMark/>
                                </w:tcPr>
                                <w:p w14:paraId="6EE14FC2"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30 to 44</w:t>
                                  </w:r>
                                </w:p>
                              </w:tc>
                              <w:tc>
                                <w:tcPr>
                                  <w:tcW w:w="1276" w:type="dxa"/>
                                  <w:noWrap/>
                                  <w:hideMark/>
                                </w:tcPr>
                                <w:p w14:paraId="54BDC022"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45363</w:t>
                                  </w:r>
                                </w:p>
                              </w:tc>
                              <w:tc>
                                <w:tcPr>
                                  <w:tcW w:w="1701" w:type="dxa"/>
                                  <w:noWrap/>
                                  <w:hideMark/>
                                </w:tcPr>
                                <w:p w14:paraId="0E80BF88"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20.3</w:t>
                                  </w:r>
                                </w:p>
                              </w:tc>
                              <w:tc>
                                <w:tcPr>
                                  <w:tcW w:w="2268" w:type="dxa"/>
                                  <w:noWrap/>
                                  <w:hideMark/>
                                </w:tcPr>
                                <w:p w14:paraId="7C407C73"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color w:val="000000" w:themeColor="text1"/>
                                    </w:rPr>
                                    <w:t>5.7%</w:t>
                                  </w:r>
                                </w:p>
                              </w:tc>
                            </w:tr>
                            <w:tr w:rsidR="007843D1" w:rsidRPr="006D3815" w14:paraId="6A82FE1B" w14:textId="77777777" w:rsidTr="007843D1">
                              <w:trPr>
                                <w:trHeight w:val="337"/>
                              </w:trPr>
                              <w:tc>
                                <w:tcPr>
                                  <w:tcW w:w="1413" w:type="dxa"/>
                                  <w:noWrap/>
                                  <w:hideMark/>
                                </w:tcPr>
                                <w:p w14:paraId="1F59C2BA"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rPr>
                                    <w:t>45 to 64</w:t>
                                  </w:r>
                                </w:p>
                              </w:tc>
                              <w:tc>
                                <w:tcPr>
                                  <w:tcW w:w="1276" w:type="dxa"/>
                                  <w:noWrap/>
                                  <w:hideMark/>
                                </w:tcPr>
                                <w:p w14:paraId="51901F41"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rPr>
                                    <w:t>55959</w:t>
                                  </w:r>
                                </w:p>
                              </w:tc>
                              <w:tc>
                                <w:tcPr>
                                  <w:tcW w:w="1701" w:type="dxa"/>
                                  <w:noWrap/>
                                  <w:hideMark/>
                                </w:tcPr>
                                <w:p w14:paraId="210BD79B"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rPr>
                                    <w:t>25.0</w:t>
                                  </w:r>
                                </w:p>
                              </w:tc>
                              <w:tc>
                                <w:tcPr>
                                  <w:tcW w:w="2268" w:type="dxa"/>
                                  <w:noWrap/>
                                  <w:hideMark/>
                                </w:tcPr>
                                <w:p w14:paraId="5E5B2ABA" w14:textId="77777777" w:rsidR="007843D1" w:rsidRPr="006D3815" w:rsidRDefault="007843D1" w:rsidP="006D3815">
                                  <w:pPr>
                                    <w:pStyle w:val="BodyText"/>
                                    <w:rPr>
                                      <w:rFonts w:asciiTheme="minorHAnsi" w:hAnsiTheme="minorHAnsi" w:cstheme="minorHAnsi"/>
                                      <w:color w:val="000000" w:themeColor="text1"/>
                                    </w:rPr>
                                  </w:pPr>
                                  <w:r w:rsidRPr="006D3815">
                                    <w:rPr>
                                      <w:rFonts w:asciiTheme="minorHAnsi" w:hAnsiTheme="minorHAnsi" w:cstheme="minorHAnsi"/>
                                    </w:rPr>
                                    <w:t>4.4%</w:t>
                                  </w:r>
                                </w:p>
                              </w:tc>
                            </w:tr>
                            <w:tr w:rsidR="007843D1" w:rsidRPr="006D3815" w14:paraId="61FF39D7" w14:textId="77777777" w:rsidTr="007843D1">
                              <w:trPr>
                                <w:trHeight w:val="257"/>
                              </w:trPr>
                              <w:tc>
                                <w:tcPr>
                                  <w:tcW w:w="1413" w:type="dxa"/>
                                  <w:noWrap/>
                                  <w:hideMark/>
                                </w:tcPr>
                                <w:p w14:paraId="3E5B3829" w14:textId="77777777" w:rsidR="007843D1" w:rsidRPr="006D3815" w:rsidRDefault="007843D1" w:rsidP="006D3815">
                                  <w:pPr>
                                    <w:pStyle w:val="BodyText"/>
                                    <w:rPr>
                                      <w:rFonts w:asciiTheme="minorHAnsi" w:hAnsiTheme="minorHAnsi" w:cstheme="minorHAnsi"/>
                                    </w:rPr>
                                  </w:pPr>
                                  <w:r w:rsidRPr="006D3815">
                                    <w:rPr>
                                      <w:rFonts w:asciiTheme="minorHAnsi" w:hAnsiTheme="minorHAnsi" w:cstheme="minorHAnsi"/>
                                    </w:rPr>
                                    <w:t>65 and Over</w:t>
                                  </w:r>
                                </w:p>
                              </w:tc>
                              <w:tc>
                                <w:tcPr>
                                  <w:tcW w:w="1276" w:type="dxa"/>
                                  <w:noWrap/>
                                  <w:hideMark/>
                                </w:tcPr>
                                <w:p w14:paraId="4C865B61" w14:textId="77777777" w:rsidR="007843D1" w:rsidRPr="006D3815" w:rsidRDefault="007843D1" w:rsidP="006D3815">
                                  <w:pPr>
                                    <w:pStyle w:val="BodyText"/>
                                    <w:rPr>
                                      <w:rFonts w:asciiTheme="minorHAnsi" w:hAnsiTheme="minorHAnsi" w:cstheme="minorHAnsi"/>
                                    </w:rPr>
                                  </w:pPr>
                                  <w:r w:rsidRPr="006D3815">
                                    <w:rPr>
                                      <w:rFonts w:asciiTheme="minorHAnsi" w:hAnsiTheme="minorHAnsi" w:cstheme="minorHAnsi"/>
                                    </w:rPr>
                                    <w:t>36868</w:t>
                                  </w:r>
                                </w:p>
                              </w:tc>
                              <w:tc>
                                <w:tcPr>
                                  <w:tcW w:w="1701" w:type="dxa"/>
                                  <w:noWrap/>
                                  <w:hideMark/>
                                </w:tcPr>
                                <w:p w14:paraId="596C73F3" w14:textId="77777777" w:rsidR="007843D1" w:rsidRPr="006D3815" w:rsidRDefault="007843D1" w:rsidP="006D3815">
                                  <w:pPr>
                                    <w:pStyle w:val="BodyText"/>
                                    <w:rPr>
                                      <w:rFonts w:asciiTheme="minorHAnsi" w:hAnsiTheme="minorHAnsi" w:cstheme="minorHAnsi"/>
                                    </w:rPr>
                                  </w:pPr>
                                  <w:r w:rsidRPr="006D3815">
                                    <w:rPr>
                                      <w:rFonts w:asciiTheme="minorHAnsi" w:hAnsiTheme="minorHAnsi" w:cstheme="minorHAnsi"/>
                                    </w:rPr>
                                    <w:t>16.5</w:t>
                                  </w:r>
                                </w:p>
                              </w:tc>
                              <w:tc>
                                <w:tcPr>
                                  <w:tcW w:w="2268" w:type="dxa"/>
                                  <w:noWrap/>
                                  <w:hideMark/>
                                </w:tcPr>
                                <w:p w14:paraId="30A917B5" w14:textId="77777777" w:rsidR="007843D1" w:rsidRPr="006D3815" w:rsidRDefault="007843D1" w:rsidP="006D3815">
                                  <w:pPr>
                                    <w:pStyle w:val="BodyText"/>
                                    <w:rPr>
                                      <w:rFonts w:asciiTheme="minorHAnsi" w:hAnsiTheme="minorHAnsi" w:cstheme="minorHAnsi"/>
                                      <w:sz w:val="24"/>
                                    </w:rPr>
                                  </w:pPr>
                                  <w:r w:rsidRPr="006D3815">
                                    <w:rPr>
                                      <w:rFonts w:asciiTheme="minorHAnsi" w:hAnsiTheme="minorHAnsi" w:cstheme="minorHAnsi"/>
                                    </w:rPr>
                                    <w:t>19.6%</w:t>
                                  </w:r>
                                </w:p>
                              </w:tc>
                            </w:tr>
                          </w:tbl>
                          <w:p w14:paraId="175AEB10" w14:textId="77777777" w:rsidR="007843D1" w:rsidRDefault="007843D1" w:rsidP="007843D1">
                            <w:pPr>
                              <w:pStyle w:val="BodyText"/>
                            </w:pPr>
                            <w:r>
                              <w:fldChar w:fldCharType="end"/>
                            </w:r>
                          </w:p>
                        </w:txbxContent>
                      </v:textbox>
                      <w10:wrap anchorx="page" anchory="page"/>
                    </v:shape>
                  </w:pict>
                </mc:Fallback>
              </mc:AlternateContent>
            </w:r>
          </w:p>
          <w:p w14:paraId="341AC2CE"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01B027AA"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5DEE5B87"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1C3A41C9"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01FA6A2E"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7EC815FD"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5D007C5A"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76AF79C2"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44DF0B5A"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3BC3498C"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4DE94F22" w14:textId="77777777" w:rsidR="007843D1" w:rsidRPr="00D02655" w:rsidRDefault="007843D1" w:rsidP="00422E40">
            <w:pPr>
              <w:pStyle w:val="TableParagraph"/>
              <w:ind w:left="0"/>
              <w:rPr>
                <w:rFonts w:asciiTheme="minorHAnsi" w:eastAsiaTheme="minorHAnsi" w:hAnsiTheme="minorHAnsi" w:cstheme="minorBidi"/>
                <w:lang w:eastAsia="en-US" w:bidi="ar-SA"/>
              </w:rPr>
            </w:pPr>
          </w:p>
          <w:p w14:paraId="0A8DABF0" w14:textId="77777777" w:rsidR="007843D1" w:rsidRPr="00D02655" w:rsidRDefault="007843D1" w:rsidP="00422E40">
            <w:pPr>
              <w:pStyle w:val="TableParagraph"/>
              <w:spacing w:before="181" w:line="276" w:lineRule="auto"/>
              <w:ind w:left="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These figures indicate that the Borough has a growing number of children and significantly, the elderly.</w:t>
            </w:r>
            <w:r>
              <w:rPr>
                <w:rFonts w:asciiTheme="minorHAnsi" w:eastAsiaTheme="minorHAnsi" w:hAnsiTheme="minorHAnsi" w:cstheme="minorBidi"/>
                <w:lang w:eastAsia="en-US" w:bidi="ar-SA"/>
              </w:rPr>
              <w:t xml:space="preserve"> Older people are also at an increased risk of poorer health. </w:t>
            </w:r>
          </w:p>
          <w:p w14:paraId="7809CED5" w14:textId="77777777" w:rsidR="007843D1" w:rsidRPr="00D02655" w:rsidRDefault="007843D1" w:rsidP="00422E40">
            <w:pPr>
              <w:pStyle w:val="TableParagraph"/>
              <w:spacing w:before="181" w:line="276" w:lineRule="auto"/>
              <w:ind w:left="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Over 70% of Living Well recipients are over 40, half of which are over 60, meaning older people are likely to be disproportionately affected</w:t>
            </w:r>
            <w:r>
              <w:rPr>
                <w:rFonts w:asciiTheme="minorHAnsi" w:eastAsiaTheme="minorHAnsi" w:hAnsiTheme="minorHAnsi" w:cstheme="minorBidi"/>
                <w:lang w:eastAsia="en-US" w:bidi="ar-SA"/>
              </w:rPr>
              <w:t xml:space="preserve"> by a reduction in service delivery</w:t>
            </w:r>
            <w:r w:rsidRPr="00D02655">
              <w:rPr>
                <w:rFonts w:asciiTheme="minorHAnsi" w:eastAsiaTheme="minorHAnsi" w:hAnsiTheme="minorHAnsi" w:cstheme="minorBidi"/>
                <w:lang w:eastAsia="en-US" w:bidi="ar-SA"/>
              </w:rPr>
              <w:t xml:space="preserve">. </w:t>
            </w:r>
          </w:p>
          <w:p w14:paraId="2B50A782" w14:textId="77777777" w:rsidR="007843D1" w:rsidRPr="00D02655" w:rsidRDefault="007843D1" w:rsidP="00422E40"/>
        </w:tc>
      </w:tr>
      <w:tr w:rsidR="007843D1" w14:paraId="6C959869" w14:textId="77777777" w:rsidTr="00422E40">
        <w:tc>
          <w:tcPr>
            <w:tcW w:w="1555" w:type="dxa"/>
          </w:tcPr>
          <w:p w14:paraId="669D79C8" w14:textId="77777777" w:rsidR="007843D1" w:rsidRDefault="007843D1" w:rsidP="00422E40">
            <w:r>
              <w:t>Disability</w:t>
            </w:r>
          </w:p>
        </w:tc>
        <w:tc>
          <w:tcPr>
            <w:tcW w:w="7461" w:type="dxa"/>
          </w:tcPr>
          <w:p w14:paraId="4255CED7" w14:textId="77777777" w:rsidR="007843D1" w:rsidRDefault="007843D1" w:rsidP="00422E40">
            <w:pPr>
              <w:pStyle w:val="TableParagraph"/>
              <w:spacing w:line="276" w:lineRule="auto"/>
              <w:ind w:left="0" w:right="105"/>
              <w:rPr>
                <w:rFonts w:asciiTheme="minorHAnsi" w:eastAsiaTheme="minorHAnsi" w:hAnsiTheme="minorHAnsi" w:cstheme="minorBidi"/>
                <w:lang w:eastAsia="en-US" w:bidi="ar-SA"/>
              </w:rPr>
            </w:pPr>
            <w:r w:rsidRPr="00DD44DF">
              <w:rPr>
                <w:rFonts w:asciiTheme="minorHAnsi" w:eastAsiaTheme="minorHAnsi" w:hAnsiTheme="minorHAnsi" w:cstheme="minorBidi"/>
                <w:lang w:eastAsia="en-US" w:bidi="ar-SA"/>
              </w:rPr>
              <w:t>The 2021 Census confirms that 19.0% of the Borough consider themselves to be disabled or their activities are limited due to a health-related issue. Rochdale Borough has higher rates of residents noting a long-term health problem or disability when compared to Greater Manchester or England and Wales. In general terms, therefore, the levels of disability and associated health issues are acknowledged to be of relevance to this Borough.</w:t>
            </w:r>
          </w:p>
          <w:p w14:paraId="70ECD822" w14:textId="77777777" w:rsidR="007843D1" w:rsidRDefault="007843D1" w:rsidP="00422E40">
            <w:pPr>
              <w:pStyle w:val="TableParagraph"/>
              <w:spacing w:line="276" w:lineRule="auto"/>
              <w:ind w:left="0" w:right="105"/>
              <w:rPr>
                <w:rFonts w:asciiTheme="minorHAnsi" w:eastAsiaTheme="minorHAnsi" w:hAnsiTheme="minorHAnsi" w:cstheme="minorBidi"/>
                <w:lang w:eastAsia="en-US" w:bidi="ar-SA"/>
              </w:rPr>
            </w:pPr>
          </w:p>
          <w:p w14:paraId="492C7BE0" w14:textId="77777777" w:rsidR="007843D1" w:rsidRDefault="007843D1" w:rsidP="00422E40">
            <w:pPr>
              <w:pStyle w:val="TableParagraph"/>
              <w:spacing w:line="276" w:lineRule="auto"/>
              <w:ind w:left="0" w:right="105"/>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 xml:space="preserve">In 2023/24, service users disclosed 2790 identified long-term health conditions, including diabetes (type 1 and 2) cardiovascular disease, cancer and obesity, so the proposed reduction will disproportionately affect people with long-term health conditions. </w:t>
            </w:r>
          </w:p>
          <w:p w14:paraId="4A990D07" w14:textId="77777777" w:rsidR="007843D1" w:rsidRDefault="007843D1" w:rsidP="00422E40">
            <w:pPr>
              <w:pStyle w:val="TableParagraph"/>
              <w:spacing w:line="276" w:lineRule="auto"/>
              <w:ind w:left="0" w:right="105"/>
            </w:pPr>
          </w:p>
        </w:tc>
      </w:tr>
      <w:tr w:rsidR="007843D1" w14:paraId="31AE7CA3" w14:textId="77777777" w:rsidTr="00422E40">
        <w:tc>
          <w:tcPr>
            <w:tcW w:w="1555" w:type="dxa"/>
          </w:tcPr>
          <w:p w14:paraId="4204F04D" w14:textId="77777777" w:rsidR="007843D1" w:rsidRDefault="007843D1" w:rsidP="00422E40">
            <w:r>
              <w:t>Gender reassignment or transgender people</w:t>
            </w:r>
          </w:p>
        </w:tc>
        <w:tc>
          <w:tcPr>
            <w:tcW w:w="7461" w:type="dxa"/>
          </w:tcPr>
          <w:p w14:paraId="52839310" w14:textId="77777777" w:rsidR="007843D1" w:rsidRPr="00D02655" w:rsidRDefault="007843D1" w:rsidP="00422E40">
            <w:pPr>
              <w:pStyle w:val="TableParagraph"/>
              <w:spacing w:line="278" w:lineRule="auto"/>
              <w:ind w:left="-1"/>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 xml:space="preserve">The 2021 Census recorded this data for the first time. 0.55% of adults in Rochdale identified as having a different gender identity than that registered at birth, compared to 0.62% in GM and 0.54% in England and Wales. </w:t>
            </w:r>
          </w:p>
          <w:p w14:paraId="1CADA588" w14:textId="77777777" w:rsidR="007843D1" w:rsidRPr="00D02655" w:rsidRDefault="007843D1" w:rsidP="00422E40">
            <w:pPr>
              <w:pStyle w:val="TableParagraph"/>
              <w:spacing w:line="278" w:lineRule="auto"/>
              <w:ind w:left="0"/>
              <w:rPr>
                <w:rFonts w:asciiTheme="minorHAnsi" w:eastAsiaTheme="minorHAnsi" w:hAnsiTheme="minorHAnsi" w:cstheme="minorBidi"/>
                <w:lang w:eastAsia="en-US" w:bidi="ar-SA"/>
              </w:rPr>
            </w:pPr>
          </w:p>
          <w:p w14:paraId="4CB40847" w14:textId="77777777" w:rsidR="007843D1" w:rsidRPr="00D02655" w:rsidRDefault="007843D1" w:rsidP="00422E40">
            <w:pPr>
              <w:pStyle w:val="TableParagraph"/>
              <w:spacing w:line="278" w:lineRule="auto"/>
              <w:ind w:left="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It is not anticipated that this group will be disproportionately affected by this proposal.</w:t>
            </w:r>
          </w:p>
        </w:tc>
      </w:tr>
      <w:tr w:rsidR="007843D1" w14:paraId="5F05F603" w14:textId="77777777" w:rsidTr="00422E40">
        <w:trPr>
          <w:trHeight w:val="76"/>
        </w:trPr>
        <w:tc>
          <w:tcPr>
            <w:tcW w:w="1555" w:type="dxa"/>
          </w:tcPr>
          <w:p w14:paraId="0DF041D3" w14:textId="77777777" w:rsidR="007843D1" w:rsidRDefault="007843D1" w:rsidP="00422E40">
            <w:r>
              <w:lastRenderedPageBreak/>
              <w:t>Marriage and civil partnership</w:t>
            </w:r>
          </w:p>
        </w:tc>
        <w:tc>
          <w:tcPr>
            <w:tcW w:w="7461" w:type="dxa"/>
          </w:tcPr>
          <w:p w14:paraId="5519EF80" w14:textId="77777777" w:rsidR="007843D1" w:rsidRPr="00D02655" w:rsidRDefault="007843D1" w:rsidP="00422E40">
            <w:r w:rsidRPr="00D02655">
              <w:t>It is not anticipated that this group will be disproportionately affected by this proposal.</w:t>
            </w:r>
          </w:p>
        </w:tc>
      </w:tr>
      <w:tr w:rsidR="007843D1" w14:paraId="377B047D" w14:textId="77777777" w:rsidTr="00422E40">
        <w:tc>
          <w:tcPr>
            <w:tcW w:w="1555" w:type="dxa"/>
          </w:tcPr>
          <w:p w14:paraId="02BBBC3E" w14:textId="77777777" w:rsidR="007843D1" w:rsidRDefault="007843D1" w:rsidP="00422E40">
            <w:r>
              <w:t>Pregnancy and maternity</w:t>
            </w:r>
          </w:p>
        </w:tc>
        <w:tc>
          <w:tcPr>
            <w:tcW w:w="7461" w:type="dxa"/>
          </w:tcPr>
          <w:p w14:paraId="77314041" w14:textId="77777777" w:rsidR="007843D1" w:rsidRPr="00D02655" w:rsidRDefault="007843D1" w:rsidP="00422E40">
            <w:r w:rsidRPr="00D02655">
              <w:t>It is not anticipated that this group will be disproportionately affected by this proposal.</w:t>
            </w:r>
          </w:p>
        </w:tc>
      </w:tr>
      <w:tr w:rsidR="007843D1" w14:paraId="559BBACC" w14:textId="77777777" w:rsidTr="00422E40">
        <w:tc>
          <w:tcPr>
            <w:tcW w:w="1555" w:type="dxa"/>
          </w:tcPr>
          <w:p w14:paraId="0567F82B" w14:textId="77777777" w:rsidR="007843D1" w:rsidRDefault="007843D1" w:rsidP="00422E40">
            <w:r>
              <w:t>Race</w:t>
            </w:r>
          </w:p>
        </w:tc>
        <w:tc>
          <w:tcPr>
            <w:tcW w:w="7461" w:type="dxa"/>
          </w:tcPr>
          <w:p w14:paraId="00A84B6A" w14:textId="77777777" w:rsidR="007843D1" w:rsidRDefault="007843D1" w:rsidP="00422E40">
            <w:pPr>
              <w:pStyle w:val="TableParagraph"/>
              <w:tabs>
                <w:tab w:val="left" w:pos="4952"/>
              </w:tabs>
              <w:spacing w:line="276" w:lineRule="auto"/>
              <w:ind w:left="0" w:right="283"/>
              <w:rPr>
                <w:rFonts w:asciiTheme="minorHAnsi" w:eastAsiaTheme="minorHAnsi" w:hAnsiTheme="minorHAnsi" w:cstheme="minorBidi"/>
                <w:lang w:eastAsia="en-US" w:bidi="ar-SA"/>
              </w:rPr>
            </w:pPr>
            <w:r w:rsidRPr="00DD44DF">
              <w:rPr>
                <w:rFonts w:asciiTheme="minorHAnsi" w:eastAsiaTheme="minorHAnsi" w:hAnsiTheme="minorHAnsi" w:cstheme="minorBidi"/>
                <w:lang w:eastAsia="en-US" w:bidi="ar-SA"/>
              </w:rPr>
              <w:t>In relation to Rochdale Borough, the 2021 Census confirms the following data on ethnicity. The overall population of Rochdale Borough is 223,770. Of these, 156,669 are classified as white British (70.0%); and 67,102 (30.0%) as BME. BME groups now account for a greater proportion of the population than was the case in 2011. Pakistani is the largest population among the BME groups and now accounts for 13.6% (30,525) of the total population in 2021, having grown by over 37.1% over the past decade.</w:t>
            </w:r>
          </w:p>
          <w:p w14:paraId="5361C10D" w14:textId="77777777" w:rsidR="007843D1" w:rsidRDefault="007843D1" w:rsidP="00422E40">
            <w:pPr>
              <w:pStyle w:val="TableParagraph"/>
              <w:tabs>
                <w:tab w:val="left" w:pos="4952"/>
              </w:tabs>
              <w:spacing w:line="276" w:lineRule="auto"/>
              <w:ind w:left="0" w:right="283"/>
              <w:rPr>
                <w:rFonts w:asciiTheme="minorHAnsi" w:eastAsiaTheme="minorHAnsi" w:hAnsiTheme="minorHAnsi" w:cstheme="minorBidi"/>
                <w:lang w:eastAsia="en-US" w:bidi="ar-SA"/>
              </w:rPr>
            </w:pPr>
          </w:p>
          <w:p w14:paraId="6837FB9E" w14:textId="77777777" w:rsidR="007843D1" w:rsidRPr="00DD44DF" w:rsidRDefault="007843D1" w:rsidP="00422E40">
            <w:pPr>
              <w:pStyle w:val="TableParagraph"/>
              <w:tabs>
                <w:tab w:val="left" w:pos="4952"/>
              </w:tabs>
              <w:spacing w:line="276" w:lineRule="auto"/>
              <w:ind w:left="0" w:right="283"/>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It is not anticipated that this group will be disproportionately affected by this proposal.</w:t>
            </w:r>
          </w:p>
          <w:p w14:paraId="46BCD748" w14:textId="77777777" w:rsidR="007843D1" w:rsidRDefault="007843D1" w:rsidP="00422E40"/>
        </w:tc>
      </w:tr>
      <w:tr w:rsidR="007843D1" w14:paraId="70B06BB0" w14:textId="77777777" w:rsidTr="00422E40">
        <w:tc>
          <w:tcPr>
            <w:tcW w:w="1555" w:type="dxa"/>
          </w:tcPr>
          <w:p w14:paraId="525A158D" w14:textId="77777777" w:rsidR="007843D1" w:rsidRDefault="007843D1" w:rsidP="00422E40">
            <w:r>
              <w:t>Religion or belief</w:t>
            </w:r>
          </w:p>
        </w:tc>
        <w:tc>
          <w:tcPr>
            <w:tcW w:w="7461" w:type="dxa"/>
          </w:tcPr>
          <w:p w14:paraId="64F99C36" w14:textId="77777777" w:rsidR="007843D1" w:rsidRPr="00D02655" w:rsidRDefault="007843D1" w:rsidP="00422E40">
            <w:pPr>
              <w:pStyle w:val="TableParagraph"/>
              <w:spacing w:line="250" w:lineRule="exact"/>
              <w:ind w:left="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The 2021 Census confirms the following religious groups in the Borough:</w:t>
            </w:r>
          </w:p>
          <w:p w14:paraId="56EAA33A" w14:textId="77777777" w:rsidR="007843D1" w:rsidRPr="00D02655" w:rsidRDefault="007843D1" w:rsidP="00422E40">
            <w:pPr>
              <w:pStyle w:val="TableParagraph"/>
              <w:spacing w:before="6"/>
              <w:ind w:left="0"/>
              <w:rPr>
                <w:rFonts w:asciiTheme="minorHAnsi" w:eastAsiaTheme="minorHAnsi" w:hAnsiTheme="minorHAnsi" w:cstheme="minorBidi"/>
                <w:lang w:eastAsia="en-US" w:bidi="ar-SA"/>
              </w:rPr>
            </w:pPr>
          </w:p>
          <w:p w14:paraId="0284B939" w14:textId="77777777" w:rsidR="007843D1" w:rsidRPr="00D02655" w:rsidRDefault="007843D1" w:rsidP="00422E40">
            <w:pPr>
              <w:pStyle w:val="TableParagraph"/>
              <w:numPr>
                <w:ilvl w:val="0"/>
                <w:numId w:val="1"/>
              </w:numPr>
              <w:tabs>
                <w:tab w:val="left" w:pos="827"/>
                <w:tab w:val="left" w:pos="828"/>
              </w:tabs>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Christian (104,841 or 46.9%, a decrease of 18.2% since 2011)</w:t>
            </w:r>
          </w:p>
          <w:p w14:paraId="38C26852" w14:textId="77777777" w:rsidR="007843D1" w:rsidRPr="00D02655" w:rsidRDefault="007843D1" w:rsidP="00422E40">
            <w:pPr>
              <w:pStyle w:val="TableParagraph"/>
              <w:numPr>
                <w:ilvl w:val="0"/>
                <w:numId w:val="1"/>
              </w:numPr>
              <w:tabs>
                <w:tab w:val="left" w:pos="827"/>
                <w:tab w:val="left" w:pos="828"/>
              </w:tabs>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No religion (64,349 or 28.8%, an increase of 60.8% from 2011)</w:t>
            </w:r>
          </w:p>
          <w:p w14:paraId="1528D681" w14:textId="77777777" w:rsidR="007843D1" w:rsidRPr="00D02655" w:rsidRDefault="007843D1" w:rsidP="00422E40">
            <w:pPr>
              <w:pStyle w:val="TableParagraph"/>
              <w:numPr>
                <w:ilvl w:val="0"/>
                <w:numId w:val="1"/>
              </w:numPr>
              <w:tabs>
                <w:tab w:val="left" w:pos="827"/>
                <w:tab w:val="left" w:pos="828"/>
              </w:tabs>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Muslim (42,121 or 18.8%, an increase of 43.1% from 2011)</w:t>
            </w:r>
          </w:p>
          <w:p w14:paraId="5AB9CCA2" w14:textId="77777777" w:rsidR="007843D1" w:rsidRPr="00D02655" w:rsidRDefault="007843D1" w:rsidP="00422E40">
            <w:pPr>
              <w:pStyle w:val="TableParagraph"/>
              <w:spacing w:before="7"/>
              <w:ind w:left="0"/>
              <w:rPr>
                <w:rFonts w:asciiTheme="minorHAnsi" w:eastAsiaTheme="minorHAnsi" w:hAnsiTheme="minorHAnsi" w:cstheme="minorBidi"/>
                <w:lang w:eastAsia="en-US" w:bidi="ar-SA"/>
              </w:rPr>
            </w:pPr>
          </w:p>
          <w:p w14:paraId="24EC3E6A" w14:textId="77777777" w:rsidR="007843D1" w:rsidRPr="00D02655" w:rsidRDefault="007843D1" w:rsidP="00422E40">
            <w:pPr>
              <w:pStyle w:val="TableParagraph"/>
              <w:spacing w:line="276" w:lineRule="auto"/>
              <w:ind w:left="-1" w:right="12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Rochdale’s proportion of Muslim residents exceeds the comparative figure for Greater Manchester (13.0%) and also England and Wales (6.5%).</w:t>
            </w:r>
          </w:p>
          <w:p w14:paraId="16234100" w14:textId="77777777" w:rsidR="007843D1" w:rsidRPr="00D02655" w:rsidRDefault="007843D1" w:rsidP="00422E40">
            <w:pPr>
              <w:pStyle w:val="TableParagraph"/>
              <w:spacing w:line="276" w:lineRule="auto"/>
              <w:ind w:left="-1" w:right="120"/>
              <w:rPr>
                <w:rFonts w:asciiTheme="minorHAnsi" w:eastAsiaTheme="minorHAnsi" w:hAnsiTheme="minorHAnsi" w:cstheme="minorBidi"/>
                <w:lang w:eastAsia="en-US" w:bidi="ar-SA"/>
              </w:rPr>
            </w:pPr>
          </w:p>
          <w:p w14:paraId="61816454" w14:textId="77777777" w:rsidR="007843D1" w:rsidRPr="00D02655" w:rsidRDefault="007843D1" w:rsidP="00422E40">
            <w:pPr>
              <w:pStyle w:val="TableParagraph"/>
              <w:spacing w:line="276" w:lineRule="auto"/>
              <w:ind w:left="-1" w:right="12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It is not anticipated that this group will be disproportionately affected by this proposal.</w:t>
            </w:r>
          </w:p>
          <w:p w14:paraId="3BF2E7B9" w14:textId="77777777" w:rsidR="007843D1" w:rsidRPr="00D02655" w:rsidRDefault="007843D1" w:rsidP="00422E40"/>
        </w:tc>
      </w:tr>
      <w:tr w:rsidR="007843D1" w14:paraId="20FA56FC" w14:textId="77777777" w:rsidTr="00422E40">
        <w:tc>
          <w:tcPr>
            <w:tcW w:w="1555" w:type="dxa"/>
          </w:tcPr>
          <w:p w14:paraId="3B2023B7" w14:textId="77777777" w:rsidR="007843D1" w:rsidRDefault="007843D1" w:rsidP="00422E40">
            <w:r>
              <w:t>Sex</w:t>
            </w:r>
          </w:p>
        </w:tc>
        <w:tc>
          <w:tcPr>
            <w:tcW w:w="7461" w:type="dxa"/>
          </w:tcPr>
          <w:p w14:paraId="5B070928" w14:textId="77777777" w:rsidR="007843D1" w:rsidRPr="00D02655" w:rsidRDefault="007843D1" w:rsidP="00422E40">
            <w:pPr>
              <w:pStyle w:val="TableParagraph"/>
              <w:spacing w:line="276" w:lineRule="auto"/>
              <w:ind w:left="-1" w:right="12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It is not anticipated that this group will be disproportionately affected by this proposal.</w:t>
            </w:r>
          </w:p>
          <w:p w14:paraId="37F73007" w14:textId="77777777" w:rsidR="007843D1" w:rsidRPr="00D02655" w:rsidRDefault="007843D1" w:rsidP="00422E40"/>
        </w:tc>
      </w:tr>
      <w:tr w:rsidR="007843D1" w14:paraId="10A346A5" w14:textId="77777777" w:rsidTr="00422E40">
        <w:tc>
          <w:tcPr>
            <w:tcW w:w="1555" w:type="dxa"/>
          </w:tcPr>
          <w:p w14:paraId="3EE7BE3D" w14:textId="77777777" w:rsidR="007843D1" w:rsidRDefault="007843D1" w:rsidP="00422E40">
            <w:r>
              <w:t>Sexual orientation</w:t>
            </w:r>
          </w:p>
        </w:tc>
        <w:tc>
          <w:tcPr>
            <w:tcW w:w="7461" w:type="dxa"/>
          </w:tcPr>
          <w:p w14:paraId="5B7A08F1" w14:textId="77777777" w:rsidR="007843D1" w:rsidRPr="00D02655" w:rsidRDefault="007843D1" w:rsidP="00422E40">
            <w:pPr>
              <w:pStyle w:val="TableParagraph"/>
              <w:spacing w:line="278" w:lineRule="auto"/>
              <w:ind w:left="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The 2021 Census recorded this data for the first time.</w:t>
            </w:r>
          </w:p>
          <w:p w14:paraId="73B5FD22" w14:textId="77777777" w:rsidR="007843D1" w:rsidRPr="00D02655" w:rsidRDefault="007843D1" w:rsidP="00422E40">
            <w:pPr>
              <w:pStyle w:val="TableParagraph"/>
              <w:spacing w:line="278" w:lineRule="auto"/>
              <w:ind w:left="0"/>
              <w:rPr>
                <w:rFonts w:asciiTheme="minorHAnsi" w:eastAsiaTheme="minorHAnsi" w:hAnsiTheme="minorHAnsi" w:cstheme="minorBidi"/>
                <w:lang w:eastAsia="en-US" w:bidi="ar-SA"/>
              </w:rPr>
            </w:pPr>
          </w:p>
          <w:p w14:paraId="27BCFDA9" w14:textId="77777777" w:rsidR="007843D1" w:rsidRPr="00D02655" w:rsidRDefault="007843D1" w:rsidP="00422E40">
            <w:pPr>
              <w:pStyle w:val="TableParagraph"/>
              <w:spacing w:line="278" w:lineRule="auto"/>
              <w:ind w:left="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Heterosexual 91.0%, Gay/Lesbian 1.2%, Bisexual 0.9%, Other 0.2% and Not Answered 6.7%.</w:t>
            </w:r>
          </w:p>
          <w:p w14:paraId="185BFD0F" w14:textId="77777777" w:rsidR="007843D1" w:rsidRPr="00D02655" w:rsidRDefault="007843D1" w:rsidP="00422E40">
            <w:pPr>
              <w:pStyle w:val="TableParagraph"/>
              <w:spacing w:line="278" w:lineRule="auto"/>
              <w:ind w:left="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This is a slightly higher proportion of heterosexual people than GM (89.3%) and England and Wales (89.4%).</w:t>
            </w:r>
          </w:p>
          <w:p w14:paraId="1C07F8ED" w14:textId="77777777" w:rsidR="007843D1" w:rsidRPr="00D02655" w:rsidRDefault="007843D1" w:rsidP="00422E40"/>
          <w:p w14:paraId="78E552B8" w14:textId="77777777" w:rsidR="007843D1" w:rsidRPr="00D02655" w:rsidRDefault="007843D1" w:rsidP="00422E40">
            <w:r w:rsidRPr="00D02655">
              <w:t>It is not anticipated that this group will be disproportionately affected by this proposal.</w:t>
            </w:r>
          </w:p>
        </w:tc>
      </w:tr>
      <w:tr w:rsidR="007843D1" w14:paraId="79C78E29" w14:textId="77777777" w:rsidTr="00422E40">
        <w:trPr>
          <w:trHeight w:val="217"/>
        </w:trPr>
        <w:tc>
          <w:tcPr>
            <w:tcW w:w="1555" w:type="dxa"/>
          </w:tcPr>
          <w:p w14:paraId="62D9EDB3" w14:textId="77777777" w:rsidR="007843D1" w:rsidRDefault="007843D1" w:rsidP="00422E40">
            <w:r>
              <w:t>Carers</w:t>
            </w:r>
          </w:p>
        </w:tc>
        <w:tc>
          <w:tcPr>
            <w:tcW w:w="7461" w:type="dxa"/>
          </w:tcPr>
          <w:p w14:paraId="5D80C9FC" w14:textId="77777777" w:rsidR="007843D1" w:rsidRPr="00D02655" w:rsidRDefault="007843D1" w:rsidP="00422E40">
            <w:pPr>
              <w:pStyle w:val="TableParagraph"/>
              <w:spacing w:line="276" w:lineRule="auto"/>
              <w:ind w:left="-1" w:right="12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It is not anticipated that this group will be disproportionately affected by this proposal.</w:t>
            </w:r>
          </w:p>
          <w:p w14:paraId="30D1C035" w14:textId="77777777" w:rsidR="007843D1" w:rsidRPr="00D02655" w:rsidRDefault="007843D1" w:rsidP="00422E40"/>
        </w:tc>
      </w:tr>
      <w:tr w:rsidR="007843D1" w14:paraId="023F4D30" w14:textId="77777777" w:rsidTr="00422E40">
        <w:tc>
          <w:tcPr>
            <w:tcW w:w="1555" w:type="dxa"/>
          </w:tcPr>
          <w:p w14:paraId="77A5C416" w14:textId="77777777" w:rsidR="007843D1" w:rsidRDefault="007843D1" w:rsidP="00422E40">
            <w:r>
              <w:t>Serving or ex serving armed forces</w:t>
            </w:r>
          </w:p>
        </w:tc>
        <w:tc>
          <w:tcPr>
            <w:tcW w:w="7461" w:type="dxa"/>
          </w:tcPr>
          <w:p w14:paraId="2D607050" w14:textId="77777777" w:rsidR="007843D1" w:rsidRPr="00D02655" w:rsidRDefault="007843D1" w:rsidP="00422E40">
            <w:pPr>
              <w:pStyle w:val="TableParagraph"/>
              <w:spacing w:line="276" w:lineRule="auto"/>
              <w:ind w:left="-1" w:right="120"/>
              <w:rPr>
                <w:rFonts w:asciiTheme="minorHAnsi" w:eastAsiaTheme="minorHAnsi" w:hAnsiTheme="minorHAnsi" w:cstheme="minorBidi"/>
                <w:lang w:eastAsia="en-US" w:bidi="ar-SA"/>
              </w:rPr>
            </w:pPr>
            <w:r w:rsidRPr="00D02655">
              <w:rPr>
                <w:rFonts w:asciiTheme="minorHAnsi" w:eastAsiaTheme="minorHAnsi" w:hAnsiTheme="minorHAnsi" w:cstheme="minorBidi"/>
                <w:lang w:eastAsia="en-US" w:bidi="ar-SA"/>
              </w:rPr>
              <w:t>It is not anticipated that this group will be disproportionately affected by this proposal.</w:t>
            </w:r>
          </w:p>
          <w:p w14:paraId="67C16B53" w14:textId="77777777" w:rsidR="007843D1" w:rsidRPr="00D02655" w:rsidRDefault="007843D1" w:rsidP="00422E40"/>
        </w:tc>
      </w:tr>
      <w:tr w:rsidR="007843D1" w14:paraId="550B0B7F" w14:textId="77777777" w:rsidTr="00422E40">
        <w:tc>
          <w:tcPr>
            <w:tcW w:w="9016" w:type="dxa"/>
            <w:gridSpan w:val="2"/>
          </w:tcPr>
          <w:p w14:paraId="5180CB7B" w14:textId="77777777" w:rsidR="007843D1" w:rsidRPr="005C55A2" w:rsidRDefault="007843D1" w:rsidP="00422E40">
            <w:pPr>
              <w:rPr>
                <w:b/>
              </w:rPr>
            </w:pPr>
            <w:r w:rsidRPr="005C55A2">
              <w:rPr>
                <w:b/>
              </w:rPr>
              <w:t xml:space="preserve">What impact will the proposal have on </w:t>
            </w:r>
            <w:r>
              <w:rPr>
                <w:b/>
              </w:rPr>
              <w:t>borough wide aims</w:t>
            </w:r>
            <w:r w:rsidRPr="005C55A2">
              <w:rPr>
                <w:b/>
              </w:rPr>
              <w:t xml:space="preserve">? </w:t>
            </w:r>
          </w:p>
        </w:tc>
      </w:tr>
      <w:tr w:rsidR="007843D1" w14:paraId="05F4A867" w14:textId="77777777" w:rsidTr="00422E40">
        <w:tc>
          <w:tcPr>
            <w:tcW w:w="1555" w:type="dxa"/>
          </w:tcPr>
          <w:p w14:paraId="23C4E181" w14:textId="77777777" w:rsidR="007843D1" w:rsidRDefault="007843D1" w:rsidP="00422E40">
            <w:r>
              <w:lastRenderedPageBreak/>
              <w:t>People living in poverty</w:t>
            </w:r>
          </w:p>
        </w:tc>
        <w:tc>
          <w:tcPr>
            <w:tcW w:w="7461" w:type="dxa"/>
          </w:tcPr>
          <w:p w14:paraId="530BC796" w14:textId="77777777" w:rsidR="007843D1" w:rsidRPr="00D02655" w:rsidRDefault="007843D1" w:rsidP="00422E40">
            <w:r w:rsidRPr="00D02655">
              <w:t>In 2023-24 80% of the residents engaged with Living Well lived in wards within deprivation quintiles 1 and 2 (most deprived). In total Living Well supported 3,000 people during the period.</w:t>
            </w:r>
          </w:p>
        </w:tc>
      </w:tr>
      <w:tr w:rsidR="007843D1" w14:paraId="184B61BE" w14:textId="77777777" w:rsidTr="00422E40">
        <w:tc>
          <w:tcPr>
            <w:tcW w:w="1555" w:type="dxa"/>
          </w:tcPr>
          <w:p w14:paraId="15ED21E8" w14:textId="77777777" w:rsidR="007843D1" w:rsidRDefault="007843D1" w:rsidP="00422E40">
            <w:r>
              <w:t>Zero hunger</w:t>
            </w:r>
          </w:p>
        </w:tc>
        <w:tc>
          <w:tcPr>
            <w:tcW w:w="7461" w:type="dxa"/>
          </w:tcPr>
          <w:p w14:paraId="453A7462" w14:textId="77777777" w:rsidR="007843D1" w:rsidRDefault="007843D1" w:rsidP="00422E40">
            <w:r w:rsidRPr="00D02655">
              <w:t xml:space="preserve">Referrals made by Living Well to foodbanks </w:t>
            </w:r>
            <w:r>
              <w:t xml:space="preserve">may </w:t>
            </w:r>
            <w:r w:rsidRPr="00D02655">
              <w:t>reduce in line with capacity.</w:t>
            </w:r>
          </w:p>
          <w:p w14:paraId="6E8FA8CB" w14:textId="77777777" w:rsidR="007843D1" w:rsidRPr="007B1C3D" w:rsidRDefault="007843D1" w:rsidP="00422E40">
            <w:pPr>
              <w:pStyle w:val="TableParagraph"/>
              <w:spacing w:line="276" w:lineRule="auto"/>
              <w:ind w:left="0" w:right="120"/>
              <w:rPr>
                <w:rFonts w:asciiTheme="minorHAnsi" w:eastAsiaTheme="minorHAnsi" w:hAnsiTheme="minorHAnsi" w:cstheme="minorBidi"/>
                <w:lang w:eastAsia="en-US" w:bidi="ar-SA"/>
              </w:rPr>
            </w:pPr>
          </w:p>
        </w:tc>
      </w:tr>
      <w:tr w:rsidR="007843D1" w14:paraId="16153614" w14:textId="77777777" w:rsidTr="00422E40">
        <w:trPr>
          <w:trHeight w:val="1388"/>
        </w:trPr>
        <w:tc>
          <w:tcPr>
            <w:tcW w:w="1555" w:type="dxa"/>
          </w:tcPr>
          <w:p w14:paraId="1EF18261" w14:textId="77777777" w:rsidR="007843D1" w:rsidRDefault="007843D1" w:rsidP="00422E40">
            <w:r>
              <w:t>Health and wellbeing</w:t>
            </w:r>
          </w:p>
        </w:tc>
        <w:tc>
          <w:tcPr>
            <w:tcW w:w="7461" w:type="dxa"/>
          </w:tcPr>
          <w:p w14:paraId="32237A3D" w14:textId="77777777" w:rsidR="007843D1" w:rsidRPr="00D02655" w:rsidRDefault="007843D1" w:rsidP="00422E40">
            <w:r w:rsidRPr="00D02655">
              <w:t xml:space="preserve">Living Well aims to prevent people from becoming ill, or supporting people with long term conditions to manage their health better. </w:t>
            </w:r>
            <w:r>
              <w:t>T</w:t>
            </w:r>
            <w:r w:rsidRPr="00D02655">
              <w:t>he number of people with long term conditions that Living Well are able to support will decrease</w:t>
            </w:r>
            <w:r>
              <w:t xml:space="preserve"> which could</w:t>
            </w:r>
            <w:r w:rsidRPr="00D02655">
              <w:t xml:space="preserve"> plac</w:t>
            </w:r>
            <w:r>
              <w:t>e</w:t>
            </w:r>
            <w:r w:rsidRPr="00D02655">
              <w:t xml:space="preserve"> additional pressure on wider health care services.</w:t>
            </w:r>
            <w:r w:rsidRPr="00D02655">
              <w:tab/>
            </w:r>
            <w:r w:rsidRPr="00D02655">
              <w:tab/>
            </w:r>
          </w:p>
        </w:tc>
      </w:tr>
      <w:tr w:rsidR="007843D1" w14:paraId="2E371EEA" w14:textId="77777777" w:rsidTr="00422E40">
        <w:tc>
          <w:tcPr>
            <w:tcW w:w="1555" w:type="dxa"/>
          </w:tcPr>
          <w:p w14:paraId="46C84E6B" w14:textId="77777777" w:rsidR="007843D1" w:rsidRDefault="007843D1" w:rsidP="00422E40">
            <w:r>
              <w:t>Work and the economy</w:t>
            </w:r>
          </w:p>
        </w:tc>
        <w:tc>
          <w:tcPr>
            <w:tcW w:w="7461" w:type="dxa"/>
          </w:tcPr>
          <w:p w14:paraId="0D753EB5" w14:textId="77777777" w:rsidR="007843D1" w:rsidRDefault="007843D1" w:rsidP="00422E40">
            <w:r>
              <w:t xml:space="preserve">This proposal is likely to have an impact on local employment: </w:t>
            </w:r>
          </w:p>
          <w:p w14:paraId="65F36571" w14:textId="77777777" w:rsidR="007843D1" w:rsidRDefault="007843D1" w:rsidP="00422E40"/>
          <w:p w14:paraId="45878906" w14:textId="77777777" w:rsidR="007843D1" w:rsidRDefault="007843D1" w:rsidP="00422E40">
            <w:r>
              <w:t>1. Over half of the clients the service works with considers themselves unemployed. The service offers support with lifestyle changes, such as how to manage long term conditions or increase confidence to be able to return to work</w:t>
            </w:r>
          </w:p>
          <w:p w14:paraId="7BA0975F" w14:textId="77777777" w:rsidR="007843D1" w:rsidRDefault="007843D1" w:rsidP="00422E40"/>
          <w:p w14:paraId="5ADC22CD" w14:textId="77777777" w:rsidR="007843D1" w:rsidRDefault="007843D1" w:rsidP="00422E40">
            <w:r>
              <w:t>2. Living Well have a substantial volunteering programme and where applicable, recruits into paid work from within that pool. By having fewer paid roles, this will decrease</w:t>
            </w:r>
          </w:p>
          <w:p w14:paraId="4A300616" w14:textId="77777777" w:rsidR="007843D1" w:rsidRDefault="007843D1" w:rsidP="00422E40"/>
          <w:p w14:paraId="2F665E3F" w14:textId="77777777" w:rsidR="007843D1" w:rsidRDefault="007843D1" w:rsidP="00422E40">
            <w:r>
              <w:t>3. 82% of the workforce live in Rochdale borough.</w:t>
            </w:r>
          </w:p>
          <w:p w14:paraId="053A7214" w14:textId="77777777" w:rsidR="007843D1" w:rsidRDefault="007843D1" w:rsidP="00422E40">
            <w:pPr>
              <w:pStyle w:val="TableParagraph"/>
              <w:spacing w:line="276" w:lineRule="auto"/>
              <w:ind w:left="0" w:right="120"/>
            </w:pPr>
          </w:p>
        </w:tc>
      </w:tr>
      <w:tr w:rsidR="007843D1" w14:paraId="0EDB9D98" w14:textId="77777777" w:rsidTr="00422E40">
        <w:tc>
          <w:tcPr>
            <w:tcW w:w="1555" w:type="dxa"/>
          </w:tcPr>
          <w:p w14:paraId="13A9D2F3" w14:textId="77777777" w:rsidR="007843D1" w:rsidRDefault="007843D1" w:rsidP="00422E40">
            <w:r>
              <w:t>Partnership working</w:t>
            </w:r>
          </w:p>
        </w:tc>
        <w:tc>
          <w:tcPr>
            <w:tcW w:w="7461" w:type="dxa"/>
          </w:tcPr>
          <w:p w14:paraId="750E62E1" w14:textId="77777777" w:rsidR="007843D1" w:rsidRDefault="007843D1" w:rsidP="00422E40">
            <w:r>
              <w:t>There will less</w:t>
            </w:r>
            <w:r w:rsidRPr="000C1886">
              <w:t xml:space="preserve"> capacity to </w:t>
            </w:r>
            <w:r>
              <w:t xml:space="preserve">train the wider system in health promotion, </w:t>
            </w:r>
            <w:r w:rsidRPr="000C1886">
              <w:t xml:space="preserve">support events, groups and meetings across the borough, </w:t>
            </w:r>
            <w:r>
              <w:t>reducing opportunities</w:t>
            </w:r>
            <w:r w:rsidRPr="000C1886">
              <w:t xml:space="preserve"> to reach the community</w:t>
            </w:r>
            <w:r>
              <w:t>.</w:t>
            </w:r>
          </w:p>
          <w:p w14:paraId="43F45131" w14:textId="77777777" w:rsidR="007843D1" w:rsidRDefault="007843D1" w:rsidP="00422E40">
            <w:pPr>
              <w:pStyle w:val="TableParagraph"/>
              <w:spacing w:line="276" w:lineRule="auto"/>
              <w:ind w:left="-1" w:right="120"/>
            </w:pPr>
          </w:p>
        </w:tc>
      </w:tr>
    </w:tbl>
    <w:p w14:paraId="1A398D10" w14:textId="77777777" w:rsidR="007843D1" w:rsidRDefault="007843D1" w:rsidP="007843D1"/>
    <w:p w14:paraId="4007A4D0" w14:textId="77777777" w:rsidR="007843D1" w:rsidRDefault="007843D1"/>
    <w:sectPr w:rsidR="00784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E46"/>
    <w:multiLevelType w:val="hybridMultilevel"/>
    <w:tmpl w:val="E99EE428"/>
    <w:lvl w:ilvl="0" w:tplc="9850C1CA">
      <w:numFmt w:val="bullet"/>
      <w:lvlText w:val="•"/>
      <w:lvlJc w:val="left"/>
      <w:pPr>
        <w:ind w:left="827" w:hanging="721"/>
      </w:pPr>
      <w:rPr>
        <w:rFonts w:ascii="Arial" w:eastAsia="Arial" w:hAnsi="Arial" w:cs="Arial" w:hint="default"/>
        <w:w w:val="100"/>
        <w:sz w:val="22"/>
        <w:szCs w:val="22"/>
        <w:lang w:val="en-GB" w:eastAsia="en-GB" w:bidi="en-GB"/>
      </w:rPr>
    </w:lvl>
    <w:lvl w:ilvl="1" w:tplc="DC568B9E">
      <w:numFmt w:val="bullet"/>
      <w:lvlText w:val="•"/>
      <w:lvlJc w:val="left"/>
      <w:pPr>
        <w:ind w:left="1683" w:hanging="721"/>
      </w:pPr>
      <w:rPr>
        <w:rFonts w:hint="default"/>
        <w:lang w:val="en-GB" w:eastAsia="en-GB" w:bidi="en-GB"/>
      </w:rPr>
    </w:lvl>
    <w:lvl w:ilvl="2" w:tplc="D1928540">
      <w:numFmt w:val="bullet"/>
      <w:lvlText w:val="•"/>
      <w:lvlJc w:val="left"/>
      <w:pPr>
        <w:ind w:left="2547" w:hanging="721"/>
      </w:pPr>
      <w:rPr>
        <w:rFonts w:hint="default"/>
        <w:lang w:val="en-GB" w:eastAsia="en-GB" w:bidi="en-GB"/>
      </w:rPr>
    </w:lvl>
    <w:lvl w:ilvl="3" w:tplc="69C4E01A">
      <w:numFmt w:val="bullet"/>
      <w:lvlText w:val="•"/>
      <w:lvlJc w:val="left"/>
      <w:pPr>
        <w:ind w:left="3411" w:hanging="721"/>
      </w:pPr>
      <w:rPr>
        <w:rFonts w:hint="default"/>
        <w:lang w:val="en-GB" w:eastAsia="en-GB" w:bidi="en-GB"/>
      </w:rPr>
    </w:lvl>
    <w:lvl w:ilvl="4" w:tplc="D9E24920">
      <w:numFmt w:val="bullet"/>
      <w:lvlText w:val="•"/>
      <w:lvlJc w:val="left"/>
      <w:pPr>
        <w:ind w:left="4275" w:hanging="721"/>
      </w:pPr>
      <w:rPr>
        <w:rFonts w:hint="default"/>
        <w:lang w:val="en-GB" w:eastAsia="en-GB" w:bidi="en-GB"/>
      </w:rPr>
    </w:lvl>
    <w:lvl w:ilvl="5" w:tplc="9EA6CD4C">
      <w:numFmt w:val="bullet"/>
      <w:lvlText w:val="•"/>
      <w:lvlJc w:val="left"/>
      <w:pPr>
        <w:ind w:left="5139" w:hanging="721"/>
      </w:pPr>
      <w:rPr>
        <w:rFonts w:hint="default"/>
        <w:lang w:val="en-GB" w:eastAsia="en-GB" w:bidi="en-GB"/>
      </w:rPr>
    </w:lvl>
    <w:lvl w:ilvl="6" w:tplc="62EA18F8">
      <w:numFmt w:val="bullet"/>
      <w:lvlText w:val="•"/>
      <w:lvlJc w:val="left"/>
      <w:pPr>
        <w:ind w:left="6002" w:hanging="721"/>
      </w:pPr>
      <w:rPr>
        <w:rFonts w:hint="default"/>
        <w:lang w:val="en-GB" w:eastAsia="en-GB" w:bidi="en-GB"/>
      </w:rPr>
    </w:lvl>
    <w:lvl w:ilvl="7" w:tplc="2E502C32">
      <w:numFmt w:val="bullet"/>
      <w:lvlText w:val="•"/>
      <w:lvlJc w:val="left"/>
      <w:pPr>
        <w:ind w:left="6866" w:hanging="721"/>
      </w:pPr>
      <w:rPr>
        <w:rFonts w:hint="default"/>
        <w:lang w:val="en-GB" w:eastAsia="en-GB" w:bidi="en-GB"/>
      </w:rPr>
    </w:lvl>
    <w:lvl w:ilvl="8" w:tplc="DB640C72">
      <w:numFmt w:val="bullet"/>
      <w:lvlText w:val="•"/>
      <w:lvlJc w:val="left"/>
      <w:pPr>
        <w:ind w:left="7730" w:hanging="72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09"/>
    <w:rsid w:val="000C1886"/>
    <w:rsid w:val="000C5524"/>
    <w:rsid w:val="001757C8"/>
    <w:rsid w:val="00185788"/>
    <w:rsid w:val="001962A2"/>
    <w:rsid w:val="001E030B"/>
    <w:rsid w:val="002B143C"/>
    <w:rsid w:val="00370F55"/>
    <w:rsid w:val="003F1DDD"/>
    <w:rsid w:val="0048248C"/>
    <w:rsid w:val="0048323D"/>
    <w:rsid w:val="00501368"/>
    <w:rsid w:val="005806B4"/>
    <w:rsid w:val="005C55A2"/>
    <w:rsid w:val="006062F8"/>
    <w:rsid w:val="006D3815"/>
    <w:rsid w:val="007667FC"/>
    <w:rsid w:val="007843D1"/>
    <w:rsid w:val="007B1C3D"/>
    <w:rsid w:val="007D4B09"/>
    <w:rsid w:val="00814CBE"/>
    <w:rsid w:val="00831069"/>
    <w:rsid w:val="008D4A3D"/>
    <w:rsid w:val="009771F7"/>
    <w:rsid w:val="00C5181B"/>
    <w:rsid w:val="00C54457"/>
    <w:rsid w:val="00D02655"/>
    <w:rsid w:val="00D40A5A"/>
    <w:rsid w:val="00DD44DF"/>
    <w:rsid w:val="00ED6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21E2"/>
  <w15:chartTrackingRefBased/>
  <w15:docId w15:val="{389665B2-588F-4579-B0CD-8EDEC0D7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062F8"/>
    <w:pPr>
      <w:widowControl w:val="0"/>
      <w:autoSpaceDE w:val="0"/>
      <w:autoSpaceDN w:val="0"/>
      <w:spacing w:after="0" w:line="240" w:lineRule="auto"/>
      <w:ind w:left="107"/>
    </w:pPr>
    <w:rPr>
      <w:rFonts w:ascii="Arial" w:eastAsia="Arial" w:hAnsi="Arial" w:cs="Arial"/>
      <w:lang w:eastAsia="en-GB" w:bidi="en-GB"/>
    </w:rPr>
  </w:style>
  <w:style w:type="paragraph" w:styleId="BodyText">
    <w:name w:val="Body Text"/>
    <w:basedOn w:val="Normal"/>
    <w:link w:val="BodyTextChar"/>
    <w:uiPriority w:val="1"/>
    <w:qFormat/>
    <w:rsid w:val="006062F8"/>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6062F8"/>
    <w:rPr>
      <w:rFonts w:ascii="Arial" w:eastAsia="Arial" w:hAnsi="Arial" w:cs="Arial"/>
      <w:lang w:eastAsia="en-GB" w:bidi="en-GB"/>
    </w:rPr>
  </w:style>
  <w:style w:type="character" w:styleId="CommentReference">
    <w:name w:val="annotation reference"/>
    <w:basedOn w:val="DefaultParagraphFont"/>
    <w:uiPriority w:val="99"/>
    <w:semiHidden/>
    <w:unhideWhenUsed/>
    <w:rsid w:val="000C5524"/>
    <w:rPr>
      <w:sz w:val="16"/>
      <w:szCs w:val="16"/>
    </w:rPr>
  </w:style>
  <w:style w:type="paragraph" w:styleId="CommentText">
    <w:name w:val="annotation text"/>
    <w:basedOn w:val="Normal"/>
    <w:link w:val="CommentTextChar"/>
    <w:uiPriority w:val="99"/>
    <w:semiHidden/>
    <w:unhideWhenUsed/>
    <w:rsid w:val="000C5524"/>
    <w:pPr>
      <w:spacing w:line="240" w:lineRule="auto"/>
    </w:pPr>
    <w:rPr>
      <w:sz w:val="20"/>
      <w:szCs w:val="20"/>
    </w:rPr>
  </w:style>
  <w:style w:type="character" w:customStyle="1" w:styleId="CommentTextChar">
    <w:name w:val="Comment Text Char"/>
    <w:basedOn w:val="DefaultParagraphFont"/>
    <w:link w:val="CommentText"/>
    <w:uiPriority w:val="99"/>
    <w:semiHidden/>
    <w:rsid w:val="000C5524"/>
    <w:rPr>
      <w:sz w:val="20"/>
      <w:szCs w:val="20"/>
    </w:rPr>
  </w:style>
  <w:style w:type="paragraph" w:styleId="CommentSubject">
    <w:name w:val="annotation subject"/>
    <w:basedOn w:val="CommentText"/>
    <w:next w:val="CommentText"/>
    <w:link w:val="CommentSubjectChar"/>
    <w:uiPriority w:val="99"/>
    <w:semiHidden/>
    <w:unhideWhenUsed/>
    <w:rsid w:val="000C5524"/>
    <w:rPr>
      <w:b/>
      <w:bCs/>
    </w:rPr>
  </w:style>
  <w:style w:type="character" w:customStyle="1" w:styleId="CommentSubjectChar">
    <w:name w:val="Comment Subject Char"/>
    <w:basedOn w:val="CommentTextChar"/>
    <w:link w:val="CommentSubject"/>
    <w:uiPriority w:val="99"/>
    <w:semiHidden/>
    <w:rsid w:val="000C5524"/>
    <w:rPr>
      <w:b/>
      <w:bCs/>
      <w:sz w:val="20"/>
      <w:szCs w:val="20"/>
    </w:rPr>
  </w:style>
  <w:style w:type="paragraph" w:styleId="BalloonText">
    <w:name w:val="Balloon Text"/>
    <w:basedOn w:val="Normal"/>
    <w:link w:val="BalloonTextChar"/>
    <w:uiPriority w:val="99"/>
    <w:semiHidden/>
    <w:unhideWhenUsed/>
    <w:rsid w:val="000C5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4923">
      <w:bodyDiv w:val="1"/>
      <w:marLeft w:val="0"/>
      <w:marRight w:val="0"/>
      <w:marTop w:val="0"/>
      <w:marBottom w:val="0"/>
      <w:divBdr>
        <w:top w:val="none" w:sz="0" w:space="0" w:color="auto"/>
        <w:left w:val="none" w:sz="0" w:space="0" w:color="auto"/>
        <w:bottom w:val="none" w:sz="0" w:space="0" w:color="auto"/>
        <w:right w:val="none" w:sz="0" w:space="0" w:color="auto"/>
      </w:divBdr>
    </w:div>
    <w:div w:id="402990288">
      <w:bodyDiv w:val="1"/>
      <w:marLeft w:val="0"/>
      <w:marRight w:val="0"/>
      <w:marTop w:val="0"/>
      <w:marBottom w:val="0"/>
      <w:divBdr>
        <w:top w:val="none" w:sz="0" w:space="0" w:color="auto"/>
        <w:left w:val="none" w:sz="0" w:space="0" w:color="auto"/>
        <w:bottom w:val="none" w:sz="0" w:space="0" w:color="auto"/>
        <w:right w:val="none" w:sz="0" w:space="0" w:color="auto"/>
      </w:divBdr>
    </w:div>
    <w:div w:id="8232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1D6CC7FCE7DB4C8FBA60D14E1BB548" ma:contentTypeVersion="10" ma:contentTypeDescription="Create a new document." ma:contentTypeScope="" ma:versionID="92115123c1750b7e6e4a80d8fb6d7c06">
  <xsd:schema xmlns:xsd="http://www.w3.org/2001/XMLSchema" xmlns:xs="http://www.w3.org/2001/XMLSchema" xmlns:p="http://schemas.microsoft.com/office/2006/metadata/properties" xmlns:ns3="943a5df1-5b5e-4f47-93db-8bafa75c60a0" targetNamespace="http://schemas.microsoft.com/office/2006/metadata/properties" ma:root="true" ma:fieldsID="3f4615d9b72eb420b3b38f6f148375d5" ns3:_="">
    <xsd:import namespace="943a5df1-5b5e-4f47-93db-8bafa75c60a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5df1-5b5e-4f47-93db-8bafa75c60a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49291-B66E-45ED-AB69-D88567EB20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5895C2-B39F-4572-9C86-4BB8AE3F2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5df1-5b5e-4f47-93db-8bafa75c6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FFF60-6BCB-495F-9BA4-301D94DB9FD7}">
  <ds:schemaRefs>
    <ds:schemaRef ds:uri="http://schemas.microsoft.com/sharepoint/v3/contenttype/forms"/>
  </ds:schemaRefs>
</ds:datastoreItem>
</file>

<file path=customXml/itemProps4.xml><?xml version="1.0" encoding="utf-8"?>
<ds:datastoreItem xmlns:ds="http://schemas.openxmlformats.org/officeDocument/2006/customXml" ds:itemID="{C19E172D-8117-46BA-8D53-CF60073A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Nixon</dc:creator>
  <cp:keywords/>
  <dc:description/>
  <cp:lastModifiedBy>Ben Jorgensen</cp:lastModifiedBy>
  <cp:revision>6</cp:revision>
  <dcterms:created xsi:type="dcterms:W3CDTF">2025-01-27T13:40:00Z</dcterms:created>
  <dcterms:modified xsi:type="dcterms:W3CDTF">2025-01-27T14:37:00Z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0x010100BB1D6CC7FCE7DB4C8FBA60D14E1BB548</vt:lpwstr>
  </property>
</Properties>
</file>