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93DC" w14:textId="77777777" w:rsidR="009F0696" w:rsidRDefault="008A2A1A" w:rsidP="009F0696">
      <w:r w:rsidRPr="00F81C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2252A80" wp14:editId="16DC7666">
            <wp:extent cx="944880" cy="1112520"/>
            <wp:effectExtent l="0" t="0" r="7620" b="0"/>
            <wp:docPr id="1" name="Picture 1" descr="Rochdale Borough Council crest" title="Rochdale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29891" name="Picture 1" descr="RochdaleBC_Port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25E0" w14:textId="118965BC" w:rsidR="009F6F61" w:rsidRPr="009F6F61" w:rsidRDefault="008A2A1A" w:rsidP="1152F7CD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1152F7CD">
        <w:rPr>
          <w:rFonts w:ascii="Arial" w:hAnsi="Arial" w:cs="Arial"/>
          <w:b/>
          <w:bCs/>
          <w:color w:val="auto"/>
          <w:sz w:val="28"/>
          <w:szCs w:val="28"/>
        </w:rPr>
        <w:t>Report title</w:t>
      </w:r>
      <w:r w:rsidR="009F0696" w:rsidRPr="1152F7CD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proofErr w:type="gramStart"/>
      <w:r w:rsidR="174CDAB3" w:rsidRPr="1152F7CD">
        <w:rPr>
          <w:rFonts w:ascii="Arial" w:hAnsi="Arial" w:cs="Arial"/>
          <w:b/>
          <w:bCs/>
          <w:color w:val="auto"/>
          <w:sz w:val="28"/>
          <w:szCs w:val="28"/>
        </w:rPr>
        <w:t xml:space="preserve">Bowling </w:t>
      </w:r>
      <w:r w:rsidR="003A3969" w:rsidRPr="1152F7CD">
        <w:rPr>
          <w:rFonts w:ascii="Arial" w:hAnsi="Arial" w:cs="Arial"/>
          <w:b/>
          <w:bCs/>
          <w:color w:val="auto"/>
          <w:sz w:val="28"/>
          <w:szCs w:val="28"/>
        </w:rPr>
        <w:t>Green’s</w:t>
      </w:r>
      <w:proofErr w:type="gramEnd"/>
      <w:r w:rsidR="174CDAB3" w:rsidRPr="1152F7CD">
        <w:rPr>
          <w:rFonts w:ascii="Arial" w:hAnsi="Arial" w:cs="Arial"/>
          <w:b/>
          <w:bCs/>
          <w:color w:val="auto"/>
          <w:sz w:val="28"/>
          <w:szCs w:val="28"/>
        </w:rPr>
        <w:t xml:space="preserve"> / Public Health Funding Withdrawal</w:t>
      </w:r>
    </w:p>
    <w:p w14:paraId="5B51031A" w14:textId="23B9E61C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009F0696">
        <w:rPr>
          <w:rFonts w:ascii="Arial" w:hAnsi="Arial" w:cs="Arial"/>
          <w:sz w:val="24"/>
          <w:szCs w:val="24"/>
        </w:rPr>
        <w:t>Report to:</w:t>
      </w:r>
      <w:r w:rsidR="009466AB">
        <w:rPr>
          <w:rFonts w:ascii="Arial" w:hAnsi="Arial" w:cs="Arial"/>
          <w:sz w:val="24"/>
          <w:szCs w:val="24"/>
        </w:rPr>
        <w:t xml:space="preserve"> Cabinet </w:t>
      </w:r>
    </w:p>
    <w:p w14:paraId="4DF0D8AE" w14:textId="21CF4AC0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009F0696">
        <w:rPr>
          <w:rFonts w:ascii="Arial" w:hAnsi="Arial" w:cs="Arial"/>
          <w:sz w:val="24"/>
          <w:szCs w:val="24"/>
        </w:rPr>
        <w:t>Date of meeting:</w:t>
      </w:r>
      <w:r>
        <w:rPr>
          <w:rFonts w:ascii="Arial" w:hAnsi="Arial" w:cs="Arial"/>
          <w:sz w:val="24"/>
          <w:szCs w:val="24"/>
        </w:rPr>
        <w:t xml:space="preserve"> </w:t>
      </w:r>
      <w:r w:rsidR="003A3969">
        <w:rPr>
          <w:rFonts w:ascii="Arial" w:hAnsi="Arial" w:cs="Arial"/>
          <w:sz w:val="24"/>
          <w:szCs w:val="24"/>
        </w:rPr>
        <w:t>17</w:t>
      </w:r>
      <w:r w:rsidR="003A3969">
        <w:rPr>
          <w:rFonts w:ascii="Arial" w:hAnsi="Arial" w:cs="Arial"/>
          <w:sz w:val="24"/>
          <w:szCs w:val="24"/>
          <w:vertAlign w:val="superscript"/>
        </w:rPr>
        <w:t>th</w:t>
      </w:r>
      <w:r w:rsidR="009466AB">
        <w:rPr>
          <w:rFonts w:ascii="Arial" w:hAnsi="Arial" w:cs="Arial"/>
          <w:sz w:val="24"/>
          <w:szCs w:val="24"/>
        </w:rPr>
        <w:t xml:space="preserve"> </w:t>
      </w:r>
      <w:r w:rsidR="003A3969">
        <w:rPr>
          <w:rFonts w:ascii="Arial" w:hAnsi="Arial" w:cs="Arial"/>
          <w:sz w:val="24"/>
          <w:szCs w:val="24"/>
        </w:rPr>
        <w:t>December</w:t>
      </w:r>
      <w:r w:rsidR="009466AB">
        <w:rPr>
          <w:rFonts w:ascii="Arial" w:hAnsi="Arial" w:cs="Arial"/>
          <w:sz w:val="24"/>
          <w:szCs w:val="24"/>
        </w:rPr>
        <w:t xml:space="preserve"> 2024</w:t>
      </w:r>
    </w:p>
    <w:p w14:paraId="2BB57C0E" w14:textId="0EE9CDE4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009F0696">
        <w:rPr>
          <w:rFonts w:ascii="Arial" w:hAnsi="Arial" w:cs="Arial"/>
          <w:sz w:val="24"/>
          <w:szCs w:val="24"/>
        </w:rPr>
        <w:t>Cabinet Portfolio Holder:</w:t>
      </w:r>
      <w:r>
        <w:rPr>
          <w:rFonts w:ascii="Arial" w:hAnsi="Arial" w:cs="Arial"/>
          <w:sz w:val="24"/>
          <w:szCs w:val="24"/>
        </w:rPr>
        <w:t xml:space="preserve"> </w:t>
      </w:r>
      <w:r w:rsidR="003A3969" w:rsidRPr="3CB07E70">
        <w:rPr>
          <w:rFonts w:ascii="Arial" w:hAnsi="Arial" w:cs="Arial"/>
          <w:sz w:val="24"/>
          <w:szCs w:val="24"/>
        </w:rPr>
        <w:t>Councillor Tricia Ayrton</w:t>
      </w:r>
    </w:p>
    <w:p w14:paraId="6C64EDB0" w14:textId="77777777" w:rsidR="009F0696" w:rsidRPr="009F069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009F0696">
        <w:rPr>
          <w:rFonts w:ascii="Arial" w:hAnsi="Arial" w:cs="Arial"/>
          <w:sz w:val="24"/>
          <w:szCs w:val="24"/>
        </w:rPr>
        <w:t>Report of:</w:t>
      </w:r>
      <w:r>
        <w:rPr>
          <w:rFonts w:ascii="Arial" w:hAnsi="Arial" w:cs="Arial"/>
          <w:sz w:val="24"/>
          <w:szCs w:val="24"/>
        </w:rPr>
        <w:t xml:space="preserve"> </w:t>
      </w:r>
      <w:r w:rsidR="009466AB">
        <w:rPr>
          <w:rFonts w:ascii="Arial" w:hAnsi="Arial" w:cs="Arial"/>
          <w:sz w:val="24"/>
          <w:szCs w:val="24"/>
        </w:rPr>
        <w:t xml:space="preserve">Martin Taylor </w:t>
      </w:r>
    </w:p>
    <w:p w14:paraId="76FF7983" w14:textId="2F395D0D" w:rsidR="00503735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or private</w:t>
      </w:r>
      <w:r w:rsidR="009F0696" w:rsidRPr="009F0696">
        <w:rPr>
          <w:rFonts w:ascii="Arial" w:hAnsi="Arial" w:cs="Arial"/>
          <w:sz w:val="24"/>
          <w:szCs w:val="24"/>
        </w:rPr>
        <w:t xml:space="preserve">: </w:t>
      </w:r>
      <w:r w:rsidR="003A3969">
        <w:rPr>
          <w:rFonts w:ascii="Arial" w:hAnsi="Arial" w:cs="Arial"/>
          <w:sz w:val="24"/>
          <w:szCs w:val="24"/>
        </w:rPr>
        <w:t>Private</w:t>
      </w:r>
    </w:p>
    <w:p w14:paraId="41E58B1B" w14:textId="17734B8C" w:rsidR="002E1DB0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602283E5">
        <w:rPr>
          <w:rFonts w:ascii="Arial" w:hAnsi="Arial" w:cs="Arial"/>
          <w:sz w:val="24"/>
          <w:szCs w:val="24"/>
        </w:rPr>
        <w:t xml:space="preserve">Key Decision: </w:t>
      </w:r>
      <w:r w:rsidRPr="602283E5">
        <w:rPr>
          <w:rFonts w:ascii="Arial" w:hAnsi="Arial" w:cs="Arial"/>
          <w:sz w:val="24"/>
          <w:szCs w:val="24"/>
        </w:rPr>
        <w:fldChar w:fldCharType="begin"/>
      </w:r>
      <w:r w:rsidRPr="602283E5">
        <w:rPr>
          <w:rFonts w:ascii="Arial" w:hAnsi="Arial" w:cs="Arial"/>
          <w:sz w:val="24"/>
          <w:szCs w:val="24"/>
        </w:rPr>
        <w:instrText xml:space="preserve"> DOCPROPERTY  IssueIsKey  \* MERGEFORMAT </w:instrText>
      </w:r>
      <w:r w:rsidRPr="602283E5">
        <w:rPr>
          <w:rFonts w:ascii="Arial" w:hAnsi="Arial" w:cs="Arial"/>
          <w:sz w:val="24"/>
          <w:szCs w:val="24"/>
        </w:rPr>
        <w:fldChar w:fldCharType="separate"/>
      </w:r>
      <w:r w:rsidRPr="602283E5">
        <w:rPr>
          <w:rFonts w:ascii="Arial" w:hAnsi="Arial" w:cs="Arial"/>
          <w:sz w:val="24"/>
          <w:szCs w:val="24"/>
        </w:rPr>
        <w:t>Y</w:t>
      </w:r>
      <w:r w:rsidRPr="602283E5">
        <w:rPr>
          <w:rFonts w:ascii="Arial" w:hAnsi="Arial" w:cs="Arial"/>
          <w:sz w:val="24"/>
          <w:szCs w:val="24"/>
        </w:rPr>
        <w:fldChar w:fldCharType="end"/>
      </w:r>
      <w:r w:rsidR="5D2A2302" w:rsidRPr="602283E5">
        <w:rPr>
          <w:rFonts w:ascii="Arial" w:hAnsi="Arial" w:cs="Arial"/>
          <w:sz w:val="24"/>
          <w:szCs w:val="24"/>
        </w:rPr>
        <w:t>es</w:t>
      </w:r>
      <w:r w:rsidRPr="602283E5">
        <w:rPr>
          <w:rFonts w:ascii="Arial" w:hAnsi="Arial" w:cs="Arial"/>
          <w:sz w:val="24"/>
          <w:szCs w:val="24"/>
        </w:rPr>
        <w:t xml:space="preserve">, </w:t>
      </w:r>
      <w:r w:rsidRPr="602283E5">
        <w:rPr>
          <w:rFonts w:ascii="Arial" w:hAnsi="Arial" w:cs="Arial"/>
          <w:sz w:val="24"/>
          <w:szCs w:val="24"/>
        </w:rPr>
        <w:fldChar w:fldCharType="begin"/>
      </w:r>
      <w:r w:rsidRPr="602283E5">
        <w:rPr>
          <w:rFonts w:ascii="Arial" w:hAnsi="Arial" w:cs="Arial"/>
          <w:sz w:val="24"/>
          <w:szCs w:val="24"/>
        </w:rPr>
        <w:instrText xml:space="preserve"> DOCPROPERTY  ReasonKey  \* MERGEFORMAT </w:instrText>
      </w:r>
      <w:r w:rsidRPr="602283E5">
        <w:rPr>
          <w:rFonts w:ascii="Arial" w:hAnsi="Arial" w:cs="Arial"/>
          <w:sz w:val="24"/>
          <w:szCs w:val="24"/>
        </w:rPr>
        <w:fldChar w:fldCharType="separate"/>
      </w:r>
      <w:r w:rsidRPr="602283E5">
        <w:rPr>
          <w:rFonts w:ascii="Arial" w:hAnsi="Arial" w:cs="Arial"/>
          <w:sz w:val="24"/>
          <w:szCs w:val="24"/>
        </w:rPr>
        <w:t>is likely to lead to significant expenditure or savings within a service area, or one that is likely to have a significant impact on the life of a community within the Borough.</w:t>
      </w:r>
      <w:r w:rsidRPr="602283E5">
        <w:rPr>
          <w:rFonts w:ascii="Arial" w:hAnsi="Arial" w:cs="Arial"/>
          <w:sz w:val="24"/>
          <w:szCs w:val="24"/>
        </w:rPr>
        <w:fldChar w:fldCharType="end"/>
      </w:r>
    </w:p>
    <w:p w14:paraId="1E164FAC" w14:textId="6E085A53" w:rsidR="002606C6" w:rsidRDefault="008A2A1A" w:rsidP="009F0696">
      <w:pPr>
        <w:spacing w:line="240" w:lineRule="auto"/>
        <w:rPr>
          <w:rFonts w:ascii="Arial" w:hAnsi="Arial" w:cs="Arial"/>
          <w:sz w:val="24"/>
          <w:szCs w:val="24"/>
        </w:rPr>
      </w:pPr>
      <w:r w:rsidRPr="602283E5">
        <w:rPr>
          <w:rFonts w:ascii="Arial" w:hAnsi="Arial" w:cs="Arial"/>
          <w:sz w:val="24"/>
          <w:szCs w:val="24"/>
        </w:rPr>
        <w:t>Published on the Forward Plan</w:t>
      </w:r>
      <w:r w:rsidR="00B076BE" w:rsidRPr="602283E5">
        <w:rPr>
          <w:rFonts w:ascii="Arial" w:hAnsi="Arial" w:cs="Arial"/>
          <w:sz w:val="24"/>
          <w:szCs w:val="24"/>
        </w:rPr>
        <w:t xml:space="preserve">: </w:t>
      </w:r>
      <w:r w:rsidR="003A3969">
        <w:rPr>
          <w:rFonts w:ascii="Arial" w:hAnsi="Arial" w:cs="Arial"/>
          <w:sz w:val="24"/>
          <w:szCs w:val="24"/>
        </w:rPr>
        <w:t>Y</w:t>
      </w:r>
    </w:p>
    <w:p w14:paraId="58FB2A30" w14:textId="77777777" w:rsidR="00C96891" w:rsidRPr="009F0696" w:rsidRDefault="00C96891" w:rsidP="009F0696">
      <w:pPr>
        <w:spacing w:line="240" w:lineRule="auto"/>
        <w:rPr>
          <w:rFonts w:ascii="Arial" w:hAnsi="Arial" w:cs="Arial"/>
          <w:sz w:val="24"/>
          <w:szCs w:val="24"/>
        </w:rPr>
      </w:pPr>
    </w:p>
    <w:p w14:paraId="6ACA5D55" w14:textId="22DFF817" w:rsidR="008A2A1A" w:rsidRDefault="008A2A1A" w:rsidP="215D911B">
      <w:pPr>
        <w:pStyle w:val="Heading2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215D911B">
        <w:rPr>
          <w:rFonts w:ascii="Arial" w:hAnsi="Arial" w:cs="Arial"/>
          <w:b/>
          <w:bCs/>
          <w:color w:val="auto"/>
          <w:sz w:val="24"/>
          <w:szCs w:val="24"/>
        </w:rPr>
        <w:t>Report summary</w:t>
      </w:r>
    </w:p>
    <w:p w14:paraId="63F42786" w14:textId="61B529E7" w:rsidR="215D911B" w:rsidRDefault="215D911B" w:rsidP="215D911B"/>
    <w:p w14:paraId="6BDB9365" w14:textId="589F856F" w:rsidR="008F5C51" w:rsidRPr="008F5C51" w:rsidRDefault="00D1795A" w:rsidP="00E8527F">
      <w:pPr>
        <w:pStyle w:val="ListParagraph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Council is required to set a balanced budget each financial year, due to pressures in Adults Social Care, Children</w:t>
      </w:r>
      <w:r w:rsidR="002D3CC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and Housing Services efficiencies have been required from across the Council. </w:t>
      </w:r>
      <w:r w:rsidR="00E8527F" w:rsidRPr="215D911B">
        <w:rPr>
          <w:rFonts w:ascii="Arial" w:hAnsi="Arial" w:cs="Arial"/>
          <w:sz w:val="24"/>
          <w:szCs w:val="24"/>
        </w:rPr>
        <w:t xml:space="preserve">This report </w:t>
      </w:r>
      <w:r w:rsidR="1B7DAEF7" w:rsidRPr="215D911B">
        <w:rPr>
          <w:rFonts w:ascii="Arial" w:hAnsi="Arial" w:cs="Arial"/>
          <w:sz w:val="24"/>
          <w:szCs w:val="24"/>
        </w:rPr>
        <w:t>a</w:t>
      </w:r>
      <w:r w:rsidR="00E8527F" w:rsidRPr="215D911B">
        <w:rPr>
          <w:rFonts w:ascii="Arial" w:hAnsi="Arial" w:cs="Arial"/>
          <w:sz w:val="24"/>
          <w:szCs w:val="24"/>
        </w:rPr>
        <w:t>ddress</w:t>
      </w:r>
      <w:r>
        <w:rPr>
          <w:rFonts w:ascii="Arial" w:hAnsi="Arial" w:cs="Arial"/>
          <w:sz w:val="24"/>
          <w:szCs w:val="24"/>
        </w:rPr>
        <w:t>es</w:t>
      </w:r>
      <w:r w:rsidR="00E8527F" w:rsidRPr="215D9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mitigations for consultation after the removal of </w:t>
      </w:r>
      <w:r w:rsidR="00E8527F" w:rsidRPr="215D911B">
        <w:rPr>
          <w:rFonts w:ascii="Arial" w:hAnsi="Arial" w:cs="Arial"/>
          <w:sz w:val="24"/>
          <w:szCs w:val="24"/>
        </w:rPr>
        <w:t xml:space="preserve">Public Health </w:t>
      </w:r>
      <w:r w:rsidR="253C368C" w:rsidRPr="215D911B">
        <w:rPr>
          <w:rFonts w:ascii="Arial" w:hAnsi="Arial" w:cs="Arial"/>
          <w:sz w:val="24"/>
          <w:szCs w:val="24"/>
        </w:rPr>
        <w:t>substitute</w:t>
      </w:r>
      <w:r w:rsidR="4DA588A6" w:rsidRPr="215D911B">
        <w:rPr>
          <w:rFonts w:ascii="Arial" w:hAnsi="Arial" w:cs="Arial"/>
          <w:sz w:val="24"/>
          <w:szCs w:val="24"/>
        </w:rPr>
        <w:t xml:space="preserve"> part-funding</w:t>
      </w:r>
      <w:r w:rsidR="7490754A" w:rsidRPr="215D91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originally </w:t>
      </w:r>
      <w:r w:rsidR="7490754A" w:rsidRPr="215D911B">
        <w:rPr>
          <w:rFonts w:ascii="Arial" w:hAnsi="Arial" w:cs="Arial"/>
          <w:sz w:val="24"/>
          <w:szCs w:val="24"/>
        </w:rPr>
        <w:t>allocated in 2015/16</w:t>
      </w:r>
      <w:r>
        <w:rPr>
          <w:rFonts w:ascii="Arial" w:hAnsi="Arial" w:cs="Arial"/>
          <w:sz w:val="24"/>
          <w:szCs w:val="24"/>
        </w:rPr>
        <w:t>,</w:t>
      </w:r>
      <w:r w:rsidR="00E8527F" w:rsidRPr="215D9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Environmental Management </w:t>
      </w:r>
      <w:r w:rsidR="00E8527F" w:rsidRPr="215D911B">
        <w:rPr>
          <w:rFonts w:ascii="Arial" w:hAnsi="Arial" w:cs="Arial"/>
          <w:sz w:val="24"/>
          <w:szCs w:val="24"/>
        </w:rPr>
        <w:t>for</w:t>
      </w:r>
      <w:r w:rsidR="1F6A9276" w:rsidRPr="215D911B">
        <w:rPr>
          <w:rFonts w:ascii="Arial" w:hAnsi="Arial" w:cs="Arial"/>
          <w:sz w:val="24"/>
          <w:szCs w:val="24"/>
        </w:rPr>
        <w:t xml:space="preserve"> the continued </w:t>
      </w:r>
      <w:r w:rsidR="1FC99885" w:rsidRPr="215D911B">
        <w:rPr>
          <w:rFonts w:ascii="Arial" w:hAnsi="Arial" w:cs="Arial"/>
          <w:sz w:val="24"/>
          <w:szCs w:val="24"/>
        </w:rPr>
        <w:t>provision</w:t>
      </w:r>
      <w:r w:rsidR="1F6A9276" w:rsidRPr="215D911B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1F6A9276" w:rsidRPr="215D911B">
        <w:rPr>
          <w:rFonts w:ascii="Arial" w:hAnsi="Arial" w:cs="Arial"/>
          <w:sz w:val="24"/>
          <w:szCs w:val="24"/>
        </w:rPr>
        <w:t>Bowling Green</w:t>
      </w:r>
      <w:proofErr w:type="gramEnd"/>
      <w:r w:rsidR="655AB1CC" w:rsidRPr="215D911B">
        <w:rPr>
          <w:rFonts w:ascii="Arial" w:hAnsi="Arial" w:cs="Arial"/>
          <w:sz w:val="24"/>
          <w:szCs w:val="24"/>
        </w:rPr>
        <w:t xml:space="preserve"> &amp; facilities</w:t>
      </w:r>
      <w:r w:rsidR="1F6A9276" w:rsidRPr="215D911B">
        <w:rPr>
          <w:rFonts w:ascii="Arial" w:hAnsi="Arial" w:cs="Arial"/>
          <w:sz w:val="24"/>
          <w:szCs w:val="24"/>
        </w:rPr>
        <w:t xml:space="preserve"> situated outside of parks across the </w:t>
      </w:r>
      <w:r w:rsidR="20A18D47" w:rsidRPr="215D911B">
        <w:rPr>
          <w:rFonts w:ascii="Arial" w:hAnsi="Arial" w:cs="Arial"/>
          <w:sz w:val="24"/>
          <w:szCs w:val="24"/>
        </w:rPr>
        <w:t xml:space="preserve">borough. </w:t>
      </w:r>
    </w:p>
    <w:p w14:paraId="566D199C" w14:textId="669B9AF7" w:rsidR="008F5C51" w:rsidRPr="008F5C51" w:rsidRDefault="008F5C51" w:rsidP="215D911B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144E676E" w14:textId="0862B9E6" w:rsidR="008F5C51" w:rsidRPr="008F5C51" w:rsidRDefault="00D1795A" w:rsidP="00E8527F">
      <w:pPr>
        <w:pStyle w:val="ListParagraph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</w:t>
      </w:r>
      <w:r w:rsidR="00E8527F" w:rsidRPr="064EDF29">
        <w:rPr>
          <w:rFonts w:ascii="Arial" w:hAnsi="Arial" w:cs="Arial"/>
          <w:sz w:val="24"/>
          <w:szCs w:val="24"/>
        </w:rPr>
        <w:t>evaluates</w:t>
      </w:r>
      <w:r w:rsidR="1CED808B" w:rsidRPr="064EDF29">
        <w:rPr>
          <w:rFonts w:ascii="Arial" w:hAnsi="Arial" w:cs="Arial"/>
          <w:sz w:val="24"/>
          <w:szCs w:val="24"/>
        </w:rPr>
        <w:t xml:space="preserve"> options for consideration </w:t>
      </w:r>
      <w:r w:rsidR="7A8C966D" w:rsidRPr="064EDF29">
        <w:rPr>
          <w:rFonts w:ascii="Arial" w:hAnsi="Arial" w:cs="Arial"/>
          <w:sz w:val="24"/>
          <w:szCs w:val="24"/>
        </w:rPr>
        <w:t>to</w:t>
      </w:r>
      <w:r w:rsidR="1CED808B" w:rsidRPr="064EDF29">
        <w:rPr>
          <w:rFonts w:ascii="Arial" w:hAnsi="Arial" w:cs="Arial"/>
          <w:sz w:val="24"/>
          <w:szCs w:val="24"/>
        </w:rPr>
        <w:t xml:space="preserve"> </w:t>
      </w:r>
      <w:r w:rsidR="1C77E11D" w:rsidRPr="064EDF29">
        <w:rPr>
          <w:rFonts w:ascii="Arial" w:hAnsi="Arial" w:cs="Arial"/>
          <w:sz w:val="24"/>
          <w:szCs w:val="24"/>
        </w:rPr>
        <w:t>mitigat</w:t>
      </w:r>
      <w:r w:rsidR="79B796FC" w:rsidRPr="064EDF29">
        <w:rPr>
          <w:rFonts w:ascii="Arial" w:hAnsi="Arial" w:cs="Arial"/>
          <w:sz w:val="24"/>
          <w:szCs w:val="24"/>
        </w:rPr>
        <w:t>e</w:t>
      </w:r>
      <w:r w:rsidR="1CED808B" w:rsidRPr="064EDF29">
        <w:rPr>
          <w:rFonts w:ascii="Arial" w:hAnsi="Arial" w:cs="Arial"/>
          <w:sz w:val="24"/>
          <w:szCs w:val="24"/>
        </w:rPr>
        <w:t xml:space="preserve"> the removal of the £60k</w:t>
      </w:r>
      <w:r w:rsidR="63B82D94" w:rsidRPr="064EDF29">
        <w:rPr>
          <w:rFonts w:ascii="Arial" w:hAnsi="Arial" w:cs="Arial"/>
          <w:sz w:val="24"/>
          <w:szCs w:val="24"/>
        </w:rPr>
        <w:t xml:space="preserve"> per annum</w:t>
      </w:r>
      <w:r w:rsidR="1CED808B" w:rsidRPr="064EDF29">
        <w:rPr>
          <w:rFonts w:ascii="Arial" w:hAnsi="Arial" w:cs="Arial"/>
          <w:sz w:val="24"/>
          <w:szCs w:val="24"/>
        </w:rPr>
        <w:t xml:space="preserve"> Public Health </w:t>
      </w:r>
      <w:r w:rsidR="1F44A380" w:rsidRPr="064EDF29">
        <w:rPr>
          <w:rFonts w:ascii="Arial" w:hAnsi="Arial" w:cs="Arial"/>
          <w:sz w:val="24"/>
          <w:szCs w:val="24"/>
        </w:rPr>
        <w:t>contribution</w:t>
      </w:r>
      <w:r w:rsidR="1CED808B" w:rsidRPr="064EDF29">
        <w:rPr>
          <w:rFonts w:ascii="Arial" w:hAnsi="Arial" w:cs="Arial"/>
          <w:sz w:val="24"/>
          <w:szCs w:val="24"/>
        </w:rPr>
        <w:t xml:space="preserve"> </w:t>
      </w:r>
      <w:r w:rsidR="66A61896" w:rsidRPr="064EDF29">
        <w:rPr>
          <w:rFonts w:ascii="Arial" w:hAnsi="Arial" w:cs="Arial"/>
          <w:sz w:val="24"/>
          <w:szCs w:val="24"/>
        </w:rPr>
        <w:t>to allow the Service</w:t>
      </w:r>
      <w:r>
        <w:rPr>
          <w:rFonts w:ascii="Arial" w:hAnsi="Arial" w:cs="Arial"/>
          <w:sz w:val="24"/>
          <w:szCs w:val="24"/>
        </w:rPr>
        <w:t xml:space="preserve"> </w:t>
      </w:r>
      <w:r w:rsidR="66A61896" w:rsidRPr="064EDF2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66A61896" w:rsidRPr="064EDF29">
        <w:rPr>
          <w:rFonts w:ascii="Arial" w:hAnsi="Arial" w:cs="Arial"/>
          <w:sz w:val="24"/>
          <w:szCs w:val="24"/>
        </w:rPr>
        <w:t xml:space="preserve">Council </w:t>
      </w:r>
      <w:r w:rsidR="1CED808B" w:rsidRPr="064EDF29">
        <w:rPr>
          <w:rFonts w:ascii="Arial" w:hAnsi="Arial" w:cs="Arial"/>
          <w:sz w:val="24"/>
          <w:szCs w:val="24"/>
        </w:rPr>
        <w:t>to</w:t>
      </w:r>
      <w:r w:rsidR="2EE9E3F8" w:rsidRPr="064EDF29">
        <w:rPr>
          <w:rFonts w:ascii="Arial" w:hAnsi="Arial" w:cs="Arial"/>
          <w:sz w:val="24"/>
          <w:szCs w:val="24"/>
        </w:rPr>
        <w:t xml:space="preserve"> continue to</w:t>
      </w:r>
      <w:r w:rsidR="1CED808B" w:rsidRPr="064EDF29">
        <w:rPr>
          <w:rFonts w:ascii="Arial" w:hAnsi="Arial" w:cs="Arial"/>
          <w:sz w:val="24"/>
          <w:szCs w:val="24"/>
        </w:rPr>
        <w:t xml:space="preserve"> </w:t>
      </w:r>
      <w:r w:rsidR="00E8527F" w:rsidRPr="064EDF29">
        <w:rPr>
          <w:rFonts w:ascii="Arial" w:hAnsi="Arial" w:cs="Arial"/>
          <w:sz w:val="24"/>
          <w:szCs w:val="24"/>
        </w:rPr>
        <w:t xml:space="preserve">maintain </w:t>
      </w:r>
      <w:proofErr w:type="gramStart"/>
      <w:r w:rsidR="003A3969" w:rsidRPr="064EDF29">
        <w:rPr>
          <w:rFonts w:ascii="Arial" w:hAnsi="Arial" w:cs="Arial"/>
          <w:sz w:val="24"/>
          <w:szCs w:val="24"/>
        </w:rPr>
        <w:t>Bowling Green</w:t>
      </w:r>
      <w:proofErr w:type="gramEnd"/>
      <w:r w:rsidR="00E8527F" w:rsidRPr="064EDF29">
        <w:rPr>
          <w:rFonts w:ascii="Arial" w:hAnsi="Arial" w:cs="Arial"/>
          <w:sz w:val="24"/>
          <w:szCs w:val="24"/>
        </w:rPr>
        <w:t xml:space="preserve"> provision</w:t>
      </w:r>
      <w:r w:rsidR="79684039" w:rsidRPr="064EDF29">
        <w:rPr>
          <w:rFonts w:ascii="Arial" w:hAnsi="Arial" w:cs="Arial"/>
          <w:sz w:val="24"/>
          <w:szCs w:val="24"/>
        </w:rPr>
        <w:t xml:space="preserve"> numbers</w:t>
      </w:r>
      <w:r>
        <w:rPr>
          <w:rFonts w:ascii="Arial" w:hAnsi="Arial" w:cs="Arial"/>
          <w:sz w:val="24"/>
          <w:szCs w:val="24"/>
        </w:rPr>
        <w:t>.</w:t>
      </w:r>
      <w:r w:rsidR="00E8527F" w:rsidRPr="064EDF29">
        <w:rPr>
          <w:rFonts w:ascii="Arial" w:hAnsi="Arial" w:cs="Arial"/>
          <w:sz w:val="24"/>
          <w:szCs w:val="24"/>
        </w:rPr>
        <w:t xml:space="preserve"> </w:t>
      </w:r>
    </w:p>
    <w:p w14:paraId="605F484F" w14:textId="06DC3781" w:rsidR="008F5C51" w:rsidRPr="008F5C51" w:rsidRDefault="008F5C51" w:rsidP="608E754E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13F158CE" w14:textId="38E63740" w:rsidR="00C46E45" w:rsidRDefault="72327AAE" w:rsidP="215D911B">
      <w:pPr>
        <w:pStyle w:val="ListParagraph"/>
        <w:numPr>
          <w:ilvl w:val="1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 xml:space="preserve">The detail of the original </w:t>
      </w:r>
      <w:r w:rsidR="1C8F800D" w:rsidRPr="064EDF29">
        <w:rPr>
          <w:rFonts w:ascii="Arial" w:hAnsi="Arial" w:cs="Arial"/>
          <w:sz w:val="24"/>
          <w:szCs w:val="24"/>
        </w:rPr>
        <w:t>Savings P</w:t>
      </w:r>
      <w:r w:rsidRPr="064EDF29">
        <w:rPr>
          <w:rFonts w:ascii="Arial" w:hAnsi="Arial" w:cs="Arial"/>
          <w:sz w:val="24"/>
          <w:szCs w:val="24"/>
        </w:rPr>
        <w:t>ro</w:t>
      </w:r>
      <w:r w:rsidR="2E2E569D" w:rsidRPr="064EDF29">
        <w:rPr>
          <w:rFonts w:ascii="Arial" w:hAnsi="Arial" w:cs="Arial"/>
          <w:sz w:val="24"/>
          <w:szCs w:val="24"/>
        </w:rPr>
        <w:t>po</w:t>
      </w:r>
      <w:r w:rsidRPr="064EDF29">
        <w:rPr>
          <w:rFonts w:ascii="Arial" w:hAnsi="Arial" w:cs="Arial"/>
          <w:sz w:val="24"/>
          <w:szCs w:val="24"/>
        </w:rPr>
        <w:t xml:space="preserve">sal </w:t>
      </w:r>
      <w:r w:rsidR="4AC7E7F9" w:rsidRPr="064EDF29">
        <w:rPr>
          <w:rFonts w:ascii="Arial" w:hAnsi="Arial" w:cs="Arial"/>
          <w:sz w:val="24"/>
          <w:szCs w:val="24"/>
        </w:rPr>
        <w:t>which followed a</w:t>
      </w:r>
      <w:r w:rsidRPr="064EDF29">
        <w:rPr>
          <w:rFonts w:ascii="Arial" w:hAnsi="Arial" w:cs="Arial"/>
          <w:sz w:val="24"/>
          <w:szCs w:val="24"/>
        </w:rPr>
        <w:t xml:space="preserve"> financial review of </w:t>
      </w:r>
      <w:r w:rsidR="39C93E71" w:rsidRPr="064EDF29">
        <w:rPr>
          <w:rFonts w:ascii="Arial" w:hAnsi="Arial" w:cs="Arial"/>
          <w:sz w:val="24"/>
          <w:szCs w:val="24"/>
        </w:rPr>
        <w:t xml:space="preserve">associated </w:t>
      </w:r>
      <w:r w:rsidRPr="064EDF29">
        <w:rPr>
          <w:rFonts w:ascii="Arial" w:hAnsi="Arial" w:cs="Arial"/>
          <w:sz w:val="24"/>
          <w:szCs w:val="24"/>
        </w:rPr>
        <w:t>costs</w:t>
      </w:r>
      <w:r w:rsidR="46CFFCFA" w:rsidRPr="064EDF29">
        <w:rPr>
          <w:rFonts w:ascii="Arial" w:hAnsi="Arial" w:cs="Arial"/>
          <w:sz w:val="24"/>
          <w:szCs w:val="24"/>
        </w:rPr>
        <w:t xml:space="preserve"> </w:t>
      </w:r>
      <w:r w:rsidR="145088B6" w:rsidRPr="064EDF29">
        <w:rPr>
          <w:rFonts w:ascii="Arial" w:hAnsi="Arial" w:cs="Arial"/>
          <w:sz w:val="24"/>
          <w:szCs w:val="24"/>
        </w:rPr>
        <w:t>carried</w:t>
      </w:r>
      <w:r w:rsidR="46CFFCFA" w:rsidRPr="064EDF29">
        <w:rPr>
          <w:rFonts w:ascii="Arial" w:hAnsi="Arial" w:cs="Arial"/>
          <w:sz w:val="24"/>
          <w:szCs w:val="24"/>
        </w:rPr>
        <w:t xml:space="preserve"> out in </w:t>
      </w:r>
      <w:r w:rsidR="7659DF7D" w:rsidRPr="064EDF29">
        <w:rPr>
          <w:rFonts w:ascii="Arial" w:hAnsi="Arial" w:cs="Arial"/>
          <w:sz w:val="24"/>
          <w:szCs w:val="24"/>
        </w:rPr>
        <w:t>201</w:t>
      </w:r>
      <w:r w:rsidR="383C4170" w:rsidRPr="064EDF29">
        <w:rPr>
          <w:rFonts w:ascii="Arial" w:hAnsi="Arial" w:cs="Arial"/>
          <w:sz w:val="24"/>
          <w:szCs w:val="24"/>
        </w:rPr>
        <w:t>4/15</w:t>
      </w:r>
      <w:r w:rsidR="7659DF7D" w:rsidRPr="064EDF29">
        <w:rPr>
          <w:rFonts w:ascii="Arial" w:hAnsi="Arial" w:cs="Arial"/>
          <w:sz w:val="24"/>
          <w:szCs w:val="24"/>
        </w:rPr>
        <w:t>, recommended</w:t>
      </w:r>
      <w:r w:rsidR="0DE81137" w:rsidRPr="064EDF29">
        <w:rPr>
          <w:rFonts w:ascii="Arial" w:hAnsi="Arial" w:cs="Arial"/>
          <w:sz w:val="24"/>
          <w:szCs w:val="24"/>
        </w:rPr>
        <w:t xml:space="preserve"> that from the 24 bowling </w:t>
      </w:r>
      <w:r w:rsidR="60713B51" w:rsidRPr="064EDF29">
        <w:rPr>
          <w:rFonts w:ascii="Arial" w:hAnsi="Arial" w:cs="Arial"/>
          <w:sz w:val="24"/>
          <w:szCs w:val="24"/>
        </w:rPr>
        <w:t>facilities</w:t>
      </w:r>
      <w:r w:rsidR="0DE81137" w:rsidRPr="064EDF29">
        <w:rPr>
          <w:rFonts w:ascii="Arial" w:hAnsi="Arial" w:cs="Arial"/>
          <w:sz w:val="24"/>
          <w:szCs w:val="24"/>
        </w:rPr>
        <w:t xml:space="preserve"> across the </w:t>
      </w:r>
      <w:r w:rsidR="6D785C82" w:rsidRPr="064EDF29">
        <w:rPr>
          <w:rFonts w:ascii="Arial" w:hAnsi="Arial" w:cs="Arial"/>
          <w:sz w:val="24"/>
          <w:szCs w:val="24"/>
        </w:rPr>
        <w:t>borough</w:t>
      </w:r>
      <w:r w:rsidR="0DE81137" w:rsidRPr="064EDF29">
        <w:rPr>
          <w:rFonts w:ascii="Arial" w:hAnsi="Arial" w:cs="Arial"/>
          <w:sz w:val="24"/>
          <w:szCs w:val="24"/>
        </w:rPr>
        <w:t xml:space="preserve"> at the time, 1</w:t>
      </w:r>
      <w:r w:rsidR="00E8527F" w:rsidRPr="064EDF29">
        <w:rPr>
          <w:rFonts w:ascii="Arial" w:hAnsi="Arial" w:cs="Arial"/>
          <w:sz w:val="24"/>
          <w:szCs w:val="24"/>
        </w:rPr>
        <w:t xml:space="preserve">4 </w:t>
      </w:r>
      <w:r w:rsidR="5DC5CB04" w:rsidRPr="064EDF29">
        <w:rPr>
          <w:rFonts w:ascii="Arial" w:hAnsi="Arial" w:cs="Arial"/>
          <w:sz w:val="24"/>
          <w:szCs w:val="24"/>
        </w:rPr>
        <w:t>of these</w:t>
      </w:r>
      <w:r w:rsidR="7FAB518B" w:rsidRPr="064EDF29">
        <w:rPr>
          <w:rFonts w:ascii="Arial" w:hAnsi="Arial" w:cs="Arial"/>
          <w:sz w:val="24"/>
          <w:szCs w:val="24"/>
        </w:rPr>
        <w:t xml:space="preserve"> which were the ones</w:t>
      </w:r>
      <w:r w:rsidR="5DC5CB04" w:rsidRPr="064EDF29">
        <w:rPr>
          <w:rFonts w:ascii="Arial" w:hAnsi="Arial" w:cs="Arial"/>
          <w:sz w:val="24"/>
          <w:szCs w:val="24"/>
        </w:rPr>
        <w:t xml:space="preserve"> </w:t>
      </w:r>
      <w:r w:rsidR="1F36A86D" w:rsidRPr="064EDF29">
        <w:rPr>
          <w:rFonts w:ascii="Arial" w:hAnsi="Arial" w:cs="Arial"/>
          <w:sz w:val="24"/>
          <w:szCs w:val="24"/>
        </w:rPr>
        <w:t>located</w:t>
      </w:r>
      <w:r w:rsidR="00E8527F" w:rsidRPr="064EDF29">
        <w:rPr>
          <w:rFonts w:ascii="Arial" w:hAnsi="Arial" w:cs="Arial"/>
          <w:sz w:val="24"/>
          <w:szCs w:val="24"/>
        </w:rPr>
        <w:t xml:space="preserve"> </w:t>
      </w:r>
      <w:r w:rsidR="00E8527F" w:rsidRPr="064EDF29">
        <w:rPr>
          <w:rFonts w:ascii="Arial" w:hAnsi="Arial" w:cs="Arial"/>
          <w:sz w:val="24"/>
          <w:szCs w:val="24"/>
        </w:rPr>
        <w:lastRenderedPageBreak/>
        <w:t xml:space="preserve">outside </w:t>
      </w:r>
      <w:r w:rsidR="488B9330" w:rsidRPr="064EDF29">
        <w:rPr>
          <w:rFonts w:ascii="Arial" w:hAnsi="Arial" w:cs="Arial"/>
          <w:sz w:val="24"/>
          <w:szCs w:val="24"/>
        </w:rPr>
        <w:t xml:space="preserve">of </w:t>
      </w:r>
      <w:r w:rsidR="4F650933" w:rsidRPr="064EDF29">
        <w:rPr>
          <w:rFonts w:ascii="Arial" w:hAnsi="Arial" w:cs="Arial"/>
          <w:sz w:val="24"/>
          <w:szCs w:val="24"/>
        </w:rPr>
        <w:t xml:space="preserve">a </w:t>
      </w:r>
      <w:r w:rsidR="00E8527F" w:rsidRPr="064EDF29">
        <w:rPr>
          <w:rFonts w:ascii="Arial" w:hAnsi="Arial" w:cs="Arial"/>
          <w:sz w:val="24"/>
          <w:szCs w:val="24"/>
        </w:rPr>
        <w:t>park</w:t>
      </w:r>
      <w:r w:rsidR="0350E29C" w:rsidRPr="064EDF29">
        <w:rPr>
          <w:rFonts w:ascii="Arial" w:hAnsi="Arial" w:cs="Arial"/>
          <w:sz w:val="24"/>
          <w:szCs w:val="24"/>
        </w:rPr>
        <w:t xml:space="preserve"> </w:t>
      </w:r>
      <w:r w:rsidR="65821413" w:rsidRPr="064EDF29">
        <w:rPr>
          <w:rFonts w:ascii="Arial" w:hAnsi="Arial" w:cs="Arial"/>
          <w:sz w:val="24"/>
          <w:szCs w:val="24"/>
        </w:rPr>
        <w:t>boundar</w:t>
      </w:r>
      <w:r w:rsidR="29EE6858" w:rsidRPr="064EDF29">
        <w:rPr>
          <w:rFonts w:ascii="Arial" w:hAnsi="Arial" w:cs="Arial"/>
          <w:sz w:val="24"/>
          <w:szCs w:val="24"/>
        </w:rPr>
        <w:t>y</w:t>
      </w:r>
      <w:r w:rsidR="4AF6E853" w:rsidRPr="064EDF29">
        <w:rPr>
          <w:rFonts w:ascii="Arial" w:hAnsi="Arial" w:cs="Arial"/>
          <w:sz w:val="24"/>
          <w:szCs w:val="24"/>
        </w:rPr>
        <w:t>,</w:t>
      </w:r>
      <w:r w:rsidR="0350E29C" w:rsidRPr="064EDF29">
        <w:rPr>
          <w:rFonts w:ascii="Arial" w:hAnsi="Arial" w:cs="Arial"/>
          <w:sz w:val="24"/>
          <w:szCs w:val="24"/>
        </w:rPr>
        <w:t xml:space="preserve"> </w:t>
      </w:r>
      <w:r w:rsidR="14FE22EA" w:rsidRPr="064EDF29">
        <w:rPr>
          <w:rFonts w:ascii="Arial" w:hAnsi="Arial" w:cs="Arial"/>
          <w:sz w:val="24"/>
          <w:szCs w:val="24"/>
        </w:rPr>
        <w:t xml:space="preserve">and which </w:t>
      </w:r>
      <w:r w:rsidR="79B97F4F" w:rsidRPr="064EDF29">
        <w:rPr>
          <w:rFonts w:ascii="Arial" w:hAnsi="Arial" w:cs="Arial"/>
          <w:sz w:val="24"/>
          <w:szCs w:val="24"/>
        </w:rPr>
        <w:t>were</w:t>
      </w:r>
      <w:r w:rsidR="14FE22EA" w:rsidRPr="064EDF29">
        <w:rPr>
          <w:rFonts w:ascii="Arial" w:hAnsi="Arial" w:cs="Arial"/>
          <w:sz w:val="24"/>
          <w:szCs w:val="24"/>
        </w:rPr>
        <w:t xml:space="preserve"> still managed and maintained by the council</w:t>
      </w:r>
      <w:r w:rsidR="7F4CE011" w:rsidRPr="064EDF29">
        <w:rPr>
          <w:rFonts w:ascii="Arial" w:hAnsi="Arial" w:cs="Arial"/>
          <w:sz w:val="24"/>
          <w:szCs w:val="24"/>
        </w:rPr>
        <w:t>,</w:t>
      </w:r>
      <w:r w:rsidR="16126B78" w:rsidRPr="064EDF29">
        <w:rPr>
          <w:rFonts w:ascii="Arial" w:hAnsi="Arial" w:cs="Arial"/>
          <w:sz w:val="24"/>
          <w:szCs w:val="24"/>
        </w:rPr>
        <w:t xml:space="preserve"> w</w:t>
      </w:r>
      <w:r w:rsidR="5F45BAE2" w:rsidRPr="064EDF29">
        <w:rPr>
          <w:rFonts w:ascii="Arial" w:hAnsi="Arial" w:cs="Arial"/>
          <w:sz w:val="24"/>
          <w:szCs w:val="24"/>
        </w:rPr>
        <w:t xml:space="preserve">ould </w:t>
      </w:r>
      <w:r w:rsidR="6E9EC240" w:rsidRPr="064EDF29">
        <w:rPr>
          <w:rFonts w:ascii="Arial" w:hAnsi="Arial" w:cs="Arial"/>
          <w:sz w:val="24"/>
          <w:szCs w:val="24"/>
        </w:rPr>
        <w:t xml:space="preserve">have the maintenance removed and responsibility handed to the individual bowls club to carry out and fund at their own expense </w:t>
      </w:r>
      <w:r w:rsidR="5312A087" w:rsidRPr="064EDF29">
        <w:rPr>
          <w:rFonts w:ascii="Arial" w:hAnsi="Arial" w:cs="Arial"/>
          <w:sz w:val="24"/>
          <w:szCs w:val="24"/>
        </w:rPr>
        <w:t>through member/user</w:t>
      </w:r>
      <w:r w:rsidR="6E9EC240" w:rsidRPr="064EDF29">
        <w:rPr>
          <w:rFonts w:ascii="Arial" w:hAnsi="Arial" w:cs="Arial"/>
          <w:sz w:val="24"/>
          <w:szCs w:val="24"/>
        </w:rPr>
        <w:t xml:space="preserve"> subscription.</w:t>
      </w:r>
      <w:r w:rsidR="16934A61" w:rsidRPr="064EDF29">
        <w:rPr>
          <w:rFonts w:ascii="Arial" w:hAnsi="Arial" w:cs="Arial"/>
          <w:sz w:val="24"/>
          <w:szCs w:val="24"/>
        </w:rPr>
        <w:t xml:space="preserve"> This Savings Proposal was not supported at the time.</w:t>
      </w:r>
    </w:p>
    <w:p w14:paraId="72A4682C" w14:textId="77777777" w:rsidR="003A3969" w:rsidRPr="003A3969" w:rsidRDefault="003A3969" w:rsidP="003A3969">
      <w:pPr>
        <w:pStyle w:val="ListParagraph"/>
        <w:rPr>
          <w:rFonts w:ascii="Arial" w:hAnsi="Arial" w:cs="Arial"/>
          <w:sz w:val="24"/>
          <w:szCs w:val="24"/>
        </w:rPr>
      </w:pPr>
    </w:p>
    <w:p w14:paraId="72E2675E" w14:textId="3689B06A" w:rsidR="003A3969" w:rsidRDefault="003A3969" w:rsidP="003A3969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5B419CAF" w14:textId="77777777" w:rsidR="003A3969" w:rsidRPr="00171D81" w:rsidRDefault="003A3969" w:rsidP="003A3969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347F3FCF" w14:textId="74433875" w:rsidR="00C46E45" w:rsidRPr="00171D81" w:rsidRDefault="00C46E45" w:rsidP="215D911B">
      <w:pPr>
        <w:pStyle w:val="ListParagraph"/>
        <w:spacing w:after="120" w:line="240" w:lineRule="auto"/>
        <w:rPr>
          <w:rFonts w:ascii="Arial" w:hAnsi="Arial" w:cs="Arial"/>
          <w:sz w:val="24"/>
          <w:szCs w:val="24"/>
        </w:rPr>
      </w:pPr>
    </w:p>
    <w:p w14:paraId="7D0C7C34" w14:textId="14B20D96" w:rsidR="1152F7CD" w:rsidRDefault="1152F7CD" w:rsidP="1152F7CD">
      <w:pPr>
        <w:pStyle w:val="ListParagraph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D367C2" w14:textId="345FE65D" w:rsidR="064EDF29" w:rsidRPr="002D3CC4" w:rsidRDefault="570F98E2" w:rsidP="002D3CC4">
      <w:pPr>
        <w:pStyle w:val="ListParagraph"/>
      </w:pPr>
      <w:r w:rsidRPr="064EDF29">
        <w:rPr>
          <w:rFonts w:ascii="Arial" w:hAnsi="Arial" w:cs="Arial"/>
          <w:sz w:val="24"/>
          <w:szCs w:val="24"/>
        </w:rPr>
        <w:t xml:space="preserve">  </w:t>
      </w:r>
    </w:p>
    <w:p w14:paraId="5436A93D" w14:textId="2D7D0C72" w:rsidR="002D3CC4" w:rsidRPr="002D3CC4" w:rsidRDefault="002D3CC4" w:rsidP="00BF2EE6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2D3CC4">
        <w:rPr>
          <w:rFonts w:ascii="Arial" w:eastAsiaTheme="minorHAnsi" w:hAnsi="Arial" w:cs="Arial"/>
          <w:b/>
          <w:color w:val="auto"/>
          <w:sz w:val="24"/>
          <w:szCs w:val="24"/>
        </w:rPr>
        <w:t>Recommendations</w:t>
      </w:r>
    </w:p>
    <w:p w14:paraId="31533C6C" w14:textId="6141BEE5" w:rsidR="002D3CC4" w:rsidRDefault="002D3CC4" w:rsidP="002D3CC4"/>
    <w:p w14:paraId="324531DB" w14:textId="6A6523A2" w:rsidR="002D3CC4" w:rsidRPr="002D3CC4" w:rsidRDefault="002D3CC4" w:rsidP="002D3CC4">
      <w:pPr>
        <w:ind w:left="720" w:hanging="720"/>
      </w:pPr>
      <w:r w:rsidRPr="002D3CC4">
        <w:rPr>
          <w:rFonts w:ascii="Arial" w:hAnsi="Arial" w:cs="Arial"/>
          <w:sz w:val="24"/>
          <w:szCs w:val="24"/>
        </w:rPr>
        <w:t>2.1</w:t>
      </w:r>
      <w:r>
        <w:tab/>
      </w:r>
      <w:r w:rsidRPr="002D3CC4">
        <w:rPr>
          <w:rFonts w:ascii="Arial" w:hAnsi="Arial" w:cs="Arial"/>
          <w:sz w:val="24"/>
          <w:szCs w:val="24"/>
        </w:rPr>
        <w:t>Due to the removal of £30k funding in 2025/26 and £60k from 2026/27, Members are asked to approve the proposal as a basis to consult with the bowling clubs, to agree a system that will enable the Council to achieve the required saving and for this saving cost to be shared equally by all the clubs</w:t>
      </w:r>
      <w:r>
        <w:rPr>
          <w:rFonts w:ascii="Arial" w:hAnsi="Arial" w:cs="Arial"/>
          <w:sz w:val="24"/>
          <w:szCs w:val="24"/>
        </w:rPr>
        <w:t>.</w:t>
      </w:r>
    </w:p>
    <w:p w14:paraId="485392D1" w14:textId="77777777" w:rsidR="002D3CC4" w:rsidRDefault="002D3CC4" w:rsidP="002D3CC4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</w:p>
    <w:p w14:paraId="0AB6464D" w14:textId="50076FA9" w:rsidR="00C46E45" w:rsidRDefault="008A2A1A" w:rsidP="00BF2EE6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171D81">
        <w:rPr>
          <w:rFonts w:ascii="Arial" w:hAnsi="Arial" w:cs="Arial"/>
          <w:b/>
          <w:color w:val="auto"/>
          <w:sz w:val="24"/>
          <w:szCs w:val="24"/>
        </w:rPr>
        <w:t>Reason for recommendation</w:t>
      </w:r>
    </w:p>
    <w:p w14:paraId="6352CE84" w14:textId="77777777" w:rsidR="003A3969" w:rsidRPr="003A3969" w:rsidRDefault="003A3969" w:rsidP="003A3969"/>
    <w:p w14:paraId="0DB39D37" w14:textId="4442F7C2" w:rsidR="008D6500" w:rsidRPr="00392D1C" w:rsidRDefault="00F94BB8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will be reduced as part of the Budget Setting process to set a Balanced Budget for the Council for 2025/26.  There is a need to consult on the options to reduce funding and maintain the service to Bowling Greens and facilities.</w:t>
      </w:r>
    </w:p>
    <w:p w14:paraId="10531EC5" w14:textId="1583F7B5" w:rsidR="215D911B" w:rsidRDefault="215D911B" w:rsidP="215D911B">
      <w:pPr>
        <w:pStyle w:val="ListParagraph"/>
        <w:rPr>
          <w:rFonts w:ascii="Arial" w:hAnsi="Arial" w:cs="Arial"/>
          <w:sz w:val="24"/>
          <w:szCs w:val="24"/>
        </w:rPr>
      </w:pPr>
    </w:p>
    <w:p w14:paraId="3EA30506" w14:textId="27D08C09" w:rsidR="00E8527F" w:rsidRDefault="00E8527F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215D911B">
        <w:rPr>
          <w:rFonts w:ascii="Arial" w:hAnsi="Arial" w:cs="Arial"/>
          <w:sz w:val="24"/>
          <w:szCs w:val="24"/>
        </w:rPr>
        <w:t>The opportunity to repurpose resources and reduce the council's liabilities associated with deteriorating assets</w:t>
      </w:r>
      <w:r w:rsidR="1D0AE85E" w:rsidRPr="215D911B">
        <w:rPr>
          <w:rFonts w:ascii="Arial" w:hAnsi="Arial" w:cs="Arial"/>
          <w:sz w:val="24"/>
          <w:szCs w:val="24"/>
        </w:rPr>
        <w:t xml:space="preserve"> in support of the asset disposal and rationalisation aspirations</w:t>
      </w:r>
      <w:r w:rsidRPr="215D911B">
        <w:rPr>
          <w:rFonts w:ascii="Arial" w:hAnsi="Arial" w:cs="Arial"/>
          <w:sz w:val="24"/>
          <w:szCs w:val="24"/>
        </w:rPr>
        <w:t>.</w:t>
      </w:r>
    </w:p>
    <w:p w14:paraId="1CDE7042" w14:textId="4B3E1239" w:rsidR="215D911B" w:rsidRDefault="215D911B" w:rsidP="215D911B">
      <w:pPr>
        <w:pStyle w:val="ListParagraph"/>
        <w:rPr>
          <w:rFonts w:ascii="Arial" w:hAnsi="Arial" w:cs="Arial"/>
          <w:sz w:val="24"/>
          <w:szCs w:val="24"/>
        </w:rPr>
      </w:pPr>
    </w:p>
    <w:p w14:paraId="0F0479F2" w14:textId="5E246A44" w:rsidR="00E8527F" w:rsidRPr="00E8527F" w:rsidRDefault="00E8527F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4B1ACCD9">
        <w:rPr>
          <w:rFonts w:ascii="Arial" w:hAnsi="Arial" w:cs="Arial"/>
          <w:sz w:val="24"/>
          <w:szCs w:val="24"/>
        </w:rPr>
        <w:t xml:space="preserve">Potential capital receipts from the sale of the land and buildings associated with </w:t>
      </w:r>
      <w:r w:rsidR="331C103F" w:rsidRPr="4B1ACCD9">
        <w:rPr>
          <w:rFonts w:ascii="Arial" w:hAnsi="Arial" w:cs="Arial"/>
          <w:sz w:val="24"/>
          <w:szCs w:val="24"/>
        </w:rPr>
        <w:t>any</w:t>
      </w:r>
      <w:r w:rsidRPr="4B1ACCD9">
        <w:rPr>
          <w:rFonts w:ascii="Arial" w:hAnsi="Arial" w:cs="Arial"/>
          <w:sz w:val="24"/>
          <w:szCs w:val="24"/>
        </w:rPr>
        <w:t xml:space="preserve"> </w:t>
      </w:r>
      <w:r w:rsidR="1E813A2A" w:rsidRPr="4B1ACCD9">
        <w:rPr>
          <w:rFonts w:ascii="Arial" w:hAnsi="Arial" w:cs="Arial"/>
          <w:sz w:val="24"/>
          <w:szCs w:val="24"/>
        </w:rPr>
        <w:t xml:space="preserve">subsequently </w:t>
      </w:r>
      <w:r w:rsidRPr="4B1ACCD9">
        <w:rPr>
          <w:rFonts w:ascii="Arial" w:hAnsi="Arial" w:cs="Arial"/>
          <w:sz w:val="24"/>
          <w:szCs w:val="24"/>
        </w:rPr>
        <w:t>closed greens.</w:t>
      </w:r>
    </w:p>
    <w:p w14:paraId="05EF60AE" w14:textId="55E9C8E8" w:rsidR="4B1ACCD9" w:rsidRDefault="4B1ACCD9" w:rsidP="4B1ACCD9">
      <w:pPr>
        <w:pStyle w:val="ListParagraph"/>
        <w:rPr>
          <w:rFonts w:ascii="Arial" w:hAnsi="Arial" w:cs="Arial"/>
          <w:sz w:val="24"/>
          <w:szCs w:val="24"/>
        </w:rPr>
      </w:pPr>
    </w:p>
    <w:p w14:paraId="1C434ED6" w14:textId="36075AD6" w:rsidR="215D911B" w:rsidRDefault="008A2A1A" w:rsidP="602283E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4"/>
          <w:szCs w:val="24"/>
        </w:rPr>
      </w:pPr>
      <w:r w:rsidRPr="4B1ACCD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Alternatives considere</w:t>
      </w:r>
      <w:r w:rsidR="2ADB1A61" w:rsidRPr="4B1ACCD9">
        <w:rPr>
          <w:rFonts w:ascii="Arial" w:hAnsi="Arial" w:cs="Arial"/>
          <w:b/>
          <w:bCs/>
          <w:color w:val="auto"/>
          <w:sz w:val="24"/>
          <w:szCs w:val="24"/>
        </w:rPr>
        <w:t>d</w:t>
      </w:r>
    </w:p>
    <w:p w14:paraId="6FE04B82" w14:textId="2B762EDB" w:rsidR="2ADB1A61" w:rsidRDefault="2ADB1A61" w:rsidP="215D911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64EDF29">
        <w:rPr>
          <w:rFonts w:ascii="Arial" w:hAnsi="Arial" w:cs="Arial"/>
          <w:color w:val="auto"/>
          <w:sz w:val="24"/>
          <w:szCs w:val="24"/>
        </w:rPr>
        <w:t xml:space="preserve"> </w:t>
      </w:r>
      <w:r>
        <w:tab/>
      </w:r>
    </w:p>
    <w:p w14:paraId="6D4478E7" w14:textId="218DBD32" w:rsidR="69DCB5F3" w:rsidRDefault="69DCB5F3" w:rsidP="064EDF29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 xml:space="preserve">To re-submit the original Savings Proposal to </w:t>
      </w:r>
      <w:r w:rsidR="61B465B4" w:rsidRPr="064EDF29">
        <w:rPr>
          <w:rFonts w:ascii="Arial" w:hAnsi="Arial" w:cs="Arial"/>
          <w:sz w:val="24"/>
          <w:szCs w:val="24"/>
        </w:rPr>
        <w:t xml:space="preserve">cease the maintenance to the 14 </w:t>
      </w:r>
      <w:r w:rsidR="00392D1C" w:rsidRPr="064EDF29">
        <w:rPr>
          <w:rFonts w:ascii="Arial" w:hAnsi="Arial" w:cs="Arial"/>
          <w:sz w:val="24"/>
          <w:szCs w:val="24"/>
        </w:rPr>
        <w:t>Bowling Green’s</w:t>
      </w:r>
      <w:r w:rsidR="61B465B4" w:rsidRPr="064EDF29">
        <w:rPr>
          <w:rFonts w:ascii="Arial" w:hAnsi="Arial" w:cs="Arial"/>
          <w:sz w:val="24"/>
          <w:szCs w:val="24"/>
        </w:rPr>
        <w:t xml:space="preserve"> outside parks</w:t>
      </w:r>
      <w:r w:rsidR="00392D1C">
        <w:rPr>
          <w:rFonts w:ascii="Arial" w:hAnsi="Arial" w:cs="Arial"/>
          <w:sz w:val="24"/>
          <w:szCs w:val="24"/>
        </w:rPr>
        <w:t>,</w:t>
      </w:r>
      <w:r w:rsidR="61B465B4" w:rsidRPr="064EDF29">
        <w:rPr>
          <w:rFonts w:ascii="Arial" w:hAnsi="Arial" w:cs="Arial"/>
          <w:sz w:val="24"/>
          <w:szCs w:val="24"/>
        </w:rPr>
        <w:t xml:space="preserve"> and responsibility to be transferred to the individual bowls club to carry out and fund at their own expense through member/user subscription.</w:t>
      </w:r>
    </w:p>
    <w:p w14:paraId="354E49F5" w14:textId="66D6EDCA" w:rsidR="215D911B" w:rsidRDefault="215D911B" w:rsidP="215D911B">
      <w:pPr>
        <w:pStyle w:val="ListParagraph"/>
        <w:rPr>
          <w:rFonts w:ascii="Arial" w:hAnsi="Arial" w:cs="Arial"/>
          <w:sz w:val="24"/>
          <w:szCs w:val="24"/>
        </w:rPr>
      </w:pPr>
    </w:p>
    <w:p w14:paraId="17BDF209" w14:textId="77777777" w:rsidR="00C46E45" w:rsidRPr="00171D81" w:rsidRDefault="008A2A1A" w:rsidP="00C46E4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4B1ACCD9">
        <w:rPr>
          <w:rFonts w:ascii="Arial" w:hAnsi="Arial" w:cs="Arial"/>
          <w:b/>
          <w:bCs/>
          <w:color w:val="auto"/>
          <w:sz w:val="24"/>
          <w:szCs w:val="24"/>
        </w:rPr>
        <w:t>Key information</w:t>
      </w:r>
    </w:p>
    <w:p w14:paraId="069CE78E" w14:textId="29C6F805" w:rsidR="4B1ACCD9" w:rsidRDefault="4B1ACCD9" w:rsidP="4B1ACCD9">
      <w:pPr>
        <w:rPr>
          <w:sz w:val="16"/>
          <w:szCs w:val="16"/>
        </w:rPr>
      </w:pPr>
    </w:p>
    <w:p w14:paraId="6CFAFB63" w14:textId="76CAF581" w:rsidR="008D6500" w:rsidRPr="00E8527F" w:rsidRDefault="00E8527F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>The Public Health Investment Strategy has provided £60,000 annually</w:t>
      </w:r>
      <w:r w:rsidR="00785551">
        <w:rPr>
          <w:rFonts w:ascii="Arial" w:hAnsi="Arial" w:cs="Arial"/>
          <w:sz w:val="24"/>
          <w:szCs w:val="24"/>
        </w:rPr>
        <w:t xml:space="preserve"> as substitute funding to the service. As part of the Budget Setting process to set a Balanced Budget for the Council for 2025/26 the substitute funding is proposed to be removed </w:t>
      </w:r>
      <w:r w:rsidRPr="064EDF29">
        <w:rPr>
          <w:rFonts w:ascii="Arial" w:hAnsi="Arial" w:cs="Arial"/>
          <w:sz w:val="24"/>
          <w:szCs w:val="24"/>
        </w:rPr>
        <w:t>starting in 2025</w:t>
      </w:r>
      <w:r w:rsidR="00392D1C">
        <w:rPr>
          <w:rFonts w:ascii="Arial" w:hAnsi="Arial" w:cs="Arial"/>
          <w:sz w:val="24"/>
          <w:szCs w:val="24"/>
        </w:rPr>
        <w:t>/26</w:t>
      </w:r>
      <w:r w:rsidR="11B0EC82" w:rsidRPr="064EDF29">
        <w:rPr>
          <w:rFonts w:ascii="Arial" w:hAnsi="Arial" w:cs="Arial"/>
          <w:sz w:val="24"/>
          <w:szCs w:val="24"/>
        </w:rPr>
        <w:t xml:space="preserve"> </w:t>
      </w:r>
      <w:r w:rsidR="00785551">
        <w:rPr>
          <w:rFonts w:ascii="Arial" w:hAnsi="Arial" w:cs="Arial"/>
          <w:sz w:val="24"/>
          <w:szCs w:val="24"/>
        </w:rPr>
        <w:t>of</w:t>
      </w:r>
      <w:r w:rsidR="00392D1C">
        <w:rPr>
          <w:rFonts w:ascii="Arial" w:hAnsi="Arial" w:cs="Arial"/>
          <w:sz w:val="24"/>
          <w:szCs w:val="24"/>
        </w:rPr>
        <w:t xml:space="preserve"> </w:t>
      </w:r>
      <w:r w:rsidR="11B0EC82" w:rsidRPr="064EDF29">
        <w:rPr>
          <w:rFonts w:ascii="Arial" w:hAnsi="Arial" w:cs="Arial"/>
          <w:sz w:val="24"/>
          <w:szCs w:val="24"/>
        </w:rPr>
        <w:t>£30</w:t>
      </w:r>
      <w:r w:rsidR="00392D1C">
        <w:rPr>
          <w:rFonts w:ascii="Arial" w:hAnsi="Arial" w:cs="Arial"/>
          <w:sz w:val="24"/>
          <w:szCs w:val="24"/>
        </w:rPr>
        <w:t>,000 and the full amount from 2026/</w:t>
      </w:r>
      <w:r w:rsidR="11B0EC82" w:rsidRPr="064EDF29">
        <w:rPr>
          <w:rFonts w:ascii="Arial" w:hAnsi="Arial" w:cs="Arial"/>
          <w:sz w:val="24"/>
          <w:szCs w:val="24"/>
        </w:rPr>
        <w:t>27 onwards</w:t>
      </w:r>
      <w:r w:rsidR="00392D1C">
        <w:rPr>
          <w:rFonts w:ascii="Arial" w:hAnsi="Arial" w:cs="Arial"/>
          <w:sz w:val="24"/>
          <w:szCs w:val="24"/>
        </w:rPr>
        <w:t>.</w:t>
      </w:r>
    </w:p>
    <w:p w14:paraId="38637F32" w14:textId="2CB15BA6" w:rsidR="064EDF29" w:rsidRDefault="064EDF29" w:rsidP="064EDF2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8B070A" w14:textId="43300D0B" w:rsidR="00E8527F" w:rsidRDefault="00E8527F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lastRenderedPageBreak/>
        <w:t xml:space="preserve">There are currently </w:t>
      </w:r>
      <w:r w:rsidR="50FABBDC" w:rsidRPr="064EDF29">
        <w:rPr>
          <w:rFonts w:ascii="Arial" w:hAnsi="Arial" w:cs="Arial"/>
          <w:sz w:val="24"/>
          <w:szCs w:val="24"/>
        </w:rPr>
        <w:t xml:space="preserve">estimated </w:t>
      </w:r>
      <w:r w:rsidRPr="064EDF29">
        <w:rPr>
          <w:rFonts w:ascii="Arial" w:hAnsi="Arial" w:cs="Arial"/>
          <w:sz w:val="24"/>
          <w:szCs w:val="24"/>
        </w:rPr>
        <w:t>1,024 active bowls club members benefiting from the greens.</w:t>
      </w:r>
    </w:p>
    <w:p w14:paraId="6459B952" w14:textId="0D859DBF" w:rsidR="064EDF29" w:rsidRDefault="064EDF29" w:rsidP="064EDF29">
      <w:pPr>
        <w:pStyle w:val="ListParagraph"/>
        <w:rPr>
          <w:rFonts w:ascii="Arial" w:hAnsi="Arial" w:cs="Arial"/>
          <w:sz w:val="24"/>
          <w:szCs w:val="24"/>
        </w:rPr>
      </w:pPr>
    </w:p>
    <w:p w14:paraId="3799F110" w14:textId="34334728" w:rsidR="00E8527F" w:rsidRDefault="00E8527F" w:rsidP="00E8527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4B1ACCD9">
        <w:rPr>
          <w:rFonts w:ascii="Arial" w:hAnsi="Arial" w:cs="Arial"/>
          <w:sz w:val="24"/>
          <w:szCs w:val="24"/>
        </w:rPr>
        <w:t>The ongoing maintenance of facilities costs the council significantly, with no immediate alternative funding sources available.</w:t>
      </w:r>
    </w:p>
    <w:p w14:paraId="0A7B2A2D" w14:textId="77777777" w:rsidR="00F94BB8" w:rsidRPr="002D3CC4" w:rsidRDefault="00F94BB8" w:rsidP="002D3CC4">
      <w:pPr>
        <w:pStyle w:val="ListParagraph"/>
        <w:rPr>
          <w:rFonts w:ascii="Arial" w:hAnsi="Arial" w:cs="Arial"/>
          <w:sz w:val="24"/>
          <w:szCs w:val="24"/>
        </w:rPr>
      </w:pPr>
    </w:p>
    <w:p w14:paraId="3565B531" w14:textId="63394FFF" w:rsidR="00F94BB8" w:rsidRDefault="00785551" w:rsidP="00F94BB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consultation with Bowling Clubs an ongoing service could be maintained via</w:t>
      </w:r>
      <w:r w:rsidR="00F94BB8" w:rsidRPr="064EDF29">
        <w:rPr>
          <w:rFonts w:ascii="Arial" w:hAnsi="Arial" w:cs="Arial"/>
          <w:sz w:val="24"/>
          <w:szCs w:val="24"/>
        </w:rPr>
        <w:t xml:space="preserve"> a </w:t>
      </w:r>
      <w:r w:rsidR="00F94BB8">
        <w:rPr>
          <w:rFonts w:ascii="Arial" w:hAnsi="Arial" w:cs="Arial"/>
          <w:sz w:val="24"/>
          <w:szCs w:val="24"/>
        </w:rPr>
        <w:t>number</w:t>
      </w:r>
      <w:r w:rsidR="00F94BB8" w:rsidRPr="064EDF29">
        <w:rPr>
          <w:rFonts w:ascii="Arial" w:hAnsi="Arial" w:cs="Arial"/>
          <w:sz w:val="24"/>
          <w:szCs w:val="24"/>
        </w:rPr>
        <w:t xml:space="preserve"> of alternative methods</w:t>
      </w:r>
      <w:r w:rsidR="00F94BB8">
        <w:rPr>
          <w:rFonts w:ascii="Arial" w:hAnsi="Arial" w:cs="Arial"/>
          <w:sz w:val="24"/>
          <w:szCs w:val="24"/>
        </w:rPr>
        <w:t>,</w:t>
      </w:r>
      <w:r w:rsidR="00F94BB8" w:rsidRPr="064EDF29">
        <w:rPr>
          <w:rFonts w:ascii="Arial" w:hAnsi="Arial" w:cs="Arial"/>
          <w:sz w:val="24"/>
          <w:szCs w:val="24"/>
        </w:rPr>
        <w:t xml:space="preserve"> including clubs paying utility bills, taking on Grounds Maintenance obligations, paying a standard rent fee for use of the facilities, upkeep of the pavilions etc.</w:t>
      </w:r>
    </w:p>
    <w:p w14:paraId="19E4F0FE" w14:textId="77777777" w:rsidR="00F94BB8" w:rsidRPr="00DC5AD4" w:rsidRDefault="00F94BB8" w:rsidP="00F94BB8">
      <w:pPr>
        <w:pStyle w:val="ListParagraph"/>
        <w:rPr>
          <w:rFonts w:ascii="Arial" w:hAnsi="Arial" w:cs="Arial"/>
          <w:sz w:val="24"/>
          <w:szCs w:val="24"/>
        </w:rPr>
      </w:pPr>
    </w:p>
    <w:p w14:paraId="587FD758" w14:textId="0418E519" w:rsidR="002D3CC4" w:rsidRDefault="00F94BB8" w:rsidP="002D3CC4">
      <w:pPr>
        <w:pStyle w:val="ListParagraph"/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>A</w:t>
      </w:r>
      <w:r w:rsidR="00785551">
        <w:rPr>
          <w:rFonts w:ascii="Arial" w:hAnsi="Arial" w:cs="Arial"/>
          <w:sz w:val="24"/>
          <w:szCs w:val="24"/>
        </w:rPr>
        <w:t>n additional option to reduce the costs to the Council is a</w:t>
      </w:r>
      <w:r w:rsidRPr="064EDF29">
        <w:rPr>
          <w:rFonts w:ascii="Arial" w:hAnsi="Arial" w:cs="Arial"/>
          <w:sz w:val="24"/>
          <w:szCs w:val="24"/>
        </w:rPr>
        <w:t xml:space="preserve"> full Community Asset Transfer option</w:t>
      </w:r>
      <w:r w:rsidR="00785551">
        <w:rPr>
          <w:rFonts w:ascii="Arial" w:hAnsi="Arial" w:cs="Arial"/>
          <w:sz w:val="24"/>
          <w:szCs w:val="24"/>
        </w:rPr>
        <w:t>.</w:t>
      </w:r>
      <w:r w:rsidRPr="064EDF29">
        <w:rPr>
          <w:rFonts w:ascii="Arial" w:hAnsi="Arial" w:cs="Arial"/>
          <w:sz w:val="24"/>
          <w:szCs w:val="24"/>
        </w:rPr>
        <w:t xml:space="preserve"> </w:t>
      </w:r>
      <w:r w:rsidR="00785551">
        <w:rPr>
          <w:rFonts w:ascii="Arial" w:hAnsi="Arial" w:cs="Arial"/>
          <w:sz w:val="24"/>
          <w:szCs w:val="24"/>
        </w:rPr>
        <w:t>I</w:t>
      </w:r>
      <w:r w:rsidRPr="064EDF29">
        <w:rPr>
          <w:rFonts w:ascii="Arial" w:hAnsi="Arial" w:cs="Arial"/>
          <w:sz w:val="24"/>
          <w:szCs w:val="24"/>
        </w:rPr>
        <w:t>f pursued, would take further detailed work with</w:t>
      </w:r>
      <w:r w:rsidR="00785551">
        <w:rPr>
          <w:rFonts w:ascii="Arial" w:hAnsi="Arial" w:cs="Arial"/>
          <w:sz w:val="24"/>
          <w:szCs w:val="24"/>
        </w:rPr>
        <w:t xml:space="preserve"> </w:t>
      </w:r>
      <w:r w:rsidRPr="064EDF29">
        <w:rPr>
          <w:rFonts w:ascii="Arial" w:hAnsi="Arial" w:cs="Arial"/>
          <w:sz w:val="24"/>
          <w:szCs w:val="24"/>
        </w:rPr>
        <w:t xml:space="preserve">Estates colleagues and in-depth support in the first </w:t>
      </w:r>
      <w:r w:rsidRPr="064EDF29">
        <w:rPr>
          <w:rFonts w:ascii="Arial" w:hAnsi="Arial" w:cs="Arial"/>
          <w:sz w:val="24"/>
          <w:szCs w:val="24"/>
        </w:rPr>
        <w:lastRenderedPageBreak/>
        <w:t>year to secure this community transfer to the Bowling Clubs</w:t>
      </w:r>
      <w:r w:rsidR="00785551">
        <w:rPr>
          <w:rFonts w:ascii="Arial" w:hAnsi="Arial" w:cs="Arial"/>
          <w:sz w:val="24"/>
          <w:szCs w:val="24"/>
        </w:rPr>
        <w:t xml:space="preserve"> </w:t>
      </w:r>
      <w:r w:rsidRPr="064EDF29">
        <w:rPr>
          <w:rFonts w:ascii="Arial" w:hAnsi="Arial" w:cs="Arial"/>
          <w:sz w:val="24"/>
          <w:szCs w:val="24"/>
        </w:rPr>
        <w:t>/</w:t>
      </w:r>
      <w:r w:rsidR="00785551">
        <w:rPr>
          <w:rFonts w:ascii="Arial" w:hAnsi="Arial" w:cs="Arial"/>
          <w:sz w:val="24"/>
          <w:szCs w:val="24"/>
        </w:rPr>
        <w:t xml:space="preserve"> </w:t>
      </w:r>
      <w:r w:rsidRPr="064EDF29">
        <w:rPr>
          <w:rFonts w:ascii="Arial" w:hAnsi="Arial" w:cs="Arial"/>
          <w:sz w:val="24"/>
          <w:szCs w:val="24"/>
        </w:rPr>
        <w:t>Associations. Bowling Clubs may bring their own ideas to the table.</w:t>
      </w:r>
    </w:p>
    <w:p w14:paraId="0A7DC30F" w14:textId="62F94A36" w:rsidR="4B1ACCD9" w:rsidRPr="002D3CC4" w:rsidRDefault="4B1ACCD9" w:rsidP="002D3CC4">
      <w:pPr>
        <w:pStyle w:val="ListParagraph"/>
      </w:pPr>
      <w:bookmarkStart w:id="0" w:name="_GoBack"/>
      <w:bookmarkEnd w:id="0"/>
    </w:p>
    <w:p w14:paraId="27C1B1FB" w14:textId="77777777" w:rsidR="00C46E45" w:rsidRPr="00171D81" w:rsidRDefault="008A2A1A" w:rsidP="00C46E4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4B1ACCD9">
        <w:rPr>
          <w:rFonts w:ascii="Arial" w:hAnsi="Arial" w:cs="Arial"/>
          <w:b/>
          <w:bCs/>
          <w:color w:val="auto"/>
          <w:sz w:val="24"/>
          <w:szCs w:val="24"/>
        </w:rPr>
        <w:t>Finance</w:t>
      </w:r>
    </w:p>
    <w:p w14:paraId="762F8301" w14:textId="4EF4268E" w:rsidR="4B1ACCD9" w:rsidRDefault="4B1ACCD9" w:rsidP="4B1ACCD9">
      <w:pPr>
        <w:rPr>
          <w:sz w:val="16"/>
          <w:szCs w:val="16"/>
        </w:rPr>
      </w:pPr>
    </w:p>
    <w:p w14:paraId="4CD5A261" w14:textId="70EAC52A" w:rsidR="00B877D2" w:rsidRDefault="008A2A1A" w:rsidP="064EDF29">
      <w:pPr>
        <w:ind w:left="720" w:hanging="720"/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>6.1</w:t>
      </w:r>
      <w:r>
        <w:tab/>
      </w:r>
      <w:r w:rsidR="0012021F" w:rsidRPr="064EDF29">
        <w:rPr>
          <w:rFonts w:ascii="Arial" w:hAnsi="Arial" w:cs="Arial"/>
          <w:sz w:val="24"/>
          <w:szCs w:val="24"/>
        </w:rPr>
        <w:t>The withdrawal of Public Health funding will create a £60,000 funding gap</w:t>
      </w:r>
      <w:r w:rsidR="00785551">
        <w:rPr>
          <w:rFonts w:ascii="Arial" w:hAnsi="Arial" w:cs="Arial"/>
          <w:sz w:val="24"/>
          <w:szCs w:val="24"/>
        </w:rPr>
        <w:t xml:space="preserve"> against current operations</w:t>
      </w:r>
      <w:r w:rsidR="0012021F" w:rsidRPr="064EDF29">
        <w:rPr>
          <w:rFonts w:ascii="Arial" w:hAnsi="Arial" w:cs="Arial"/>
          <w:sz w:val="24"/>
          <w:szCs w:val="24"/>
        </w:rPr>
        <w:t xml:space="preserve">. </w:t>
      </w:r>
      <w:r w:rsidR="6A1F06A3" w:rsidRPr="064EDF29">
        <w:rPr>
          <w:rFonts w:ascii="Arial" w:hAnsi="Arial" w:cs="Arial"/>
          <w:sz w:val="24"/>
          <w:szCs w:val="24"/>
        </w:rPr>
        <w:t>The proposal in this report will realise savings required to bridge this gap.</w:t>
      </w:r>
      <w:r w:rsidR="0012021F" w:rsidRPr="064EDF29">
        <w:rPr>
          <w:rFonts w:ascii="Arial" w:hAnsi="Arial" w:cs="Arial"/>
          <w:sz w:val="24"/>
          <w:szCs w:val="24"/>
        </w:rPr>
        <w:t xml:space="preserve"> Staffing efficiencies may also be realised by reallocating personnel to vacant positions within the EM Service.</w:t>
      </w:r>
    </w:p>
    <w:p w14:paraId="3AC345EB" w14:textId="77777777" w:rsidR="00C96891" w:rsidRDefault="00B877D2" w:rsidP="008D650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6.2</w:t>
      </w:r>
      <w:r w:rsidR="008A2A1A" w:rsidRPr="00171D81">
        <w:rPr>
          <w:rFonts w:ascii="Arial" w:hAnsi="Arial" w:cs="Arial"/>
          <w:sz w:val="24"/>
          <w:szCs w:val="24"/>
        </w:rPr>
        <w:tab/>
      </w:r>
      <w:r w:rsidRPr="00B877D2">
        <w:rPr>
          <w:rFonts w:ascii="Arial" w:hAnsi="Arial" w:cs="Arial"/>
          <w:b/>
          <w:sz w:val="24"/>
          <w:szCs w:val="24"/>
          <w:u w:val="single"/>
        </w:rPr>
        <w:t>Table 1</w:t>
      </w:r>
    </w:p>
    <w:p w14:paraId="705E2AAD" w14:textId="77777777" w:rsidR="00C96891" w:rsidRPr="00B877D2" w:rsidRDefault="00C96891" w:rsidP="008D6500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78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560"/>
        <w:gridCol w:w="1559"/>
        <w:gridCol w:w="1559"/>
      </w:tblGrid>
      <w:tr w:rsidR="00392D1C" w:rsidRPr="00520336" w14:paraId="24927195" w14:textId="77777777" w:rsidTr="00392D1C">
        <w:tc>
          <w:tcPr>
            <w:tcW w:w="3147" w:type="dxa"/>
            <w:shd w:val="clear" w:color="auto" w:fill="auto"/>
          </w:tcPr>
          <w:p w14:paraId="679814AC" w14:textId="77777777" w:rsidR="00392D1C" w:rsidRPr="00520336" w:rsidRDefault="00392D1C" w:rsidP="008202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05E04FE" w14:textId="77777777" w:rsidR="00392D1C" w:rsidRDefault="00392D1C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Efficiencies 2025/26</w:t>
            </w:r>
          </w:p>
          <w:p w14:paraId="41F25D70" w14:textId="77777777" w:rsidR="00392D1C" w:rsidRPr="00520336" w:rsidRDefault="00392D1C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£m</w:t>
            </w:r>
          </w:p>
        </w:tc>
        <w:tc>
          <w:tcPr>
            <w:tcW w:w="1559" w:type="dxa"/>
            <w:shd w:val="clear" w:color="auto" w:fill="auto"/>
          </w:tcPr>
          <w:p w14:paraId="09F77160" w14:textId="77777777" w:rsidR="00392D1C" w:rsidRDefault="00392D1C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Efficiencies</w:t>
            </w:r>
          </w:p>
          <w:p w14:paraId="74C521A0" w14:textId="77777777" w:rsidR="00392D1C" w:rsidRPr="00520336" w:rsidRDefault="00392D1C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2026/27   £m</w:t>
            </w:r>
          </w:p>
        </w:tc>
        <w:tc>
          <w:tcPr>
            <w:tcW w:w="1559" w:type="dxa"/>
            <w:shd w:val="clear" w:color="auto" w:fill="auto"/>
          </w:tcPr>
          <w:p w14:paraId="49A7E857" w14:textId="77777777" w:rsidR="00392D1C" w:rsidRPr="00520336" w:rsidRDefault="00392D1C" w:rsidP="005D1EC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Efficiencies 2027/28  £m</w:t>
            </w:r>
          </w:p>
        </w:tc>
      </w:tr>
      <w:tr w:rsidR="00392D1C" w:rsidRPr="00520336" w14:paraId="483D1F68" w14:textId="77777777" w:rsidTr="00392D1C">
        <w:tc>
          <w:tcPr>
            <w:tcW w:w="3147" w:type="dxa"/>
            <w:shd w:val="clear" w:color="auto" w:fill="auto"/>
          </w:tcPr>
          <w:p w14:paraId="211C14AF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t>Employees</w:t>
            </w:r>
          </w:p>
        </w:tc>
        <w:tc>
          <w:tcPr>
            <w:tcW w:w="1560" w:type="dxa"/>
            <w:shd w:val="clear" w:color="auto" w:fill="auto"/>
          </w:tcPr>
          <w:p w14:paraId="4D522FDA" w14:textId="77777777" w:rsidR="00392D1C" w:rsidRPr="00FA0589" w:rsidRDefault="00392D1C" w:rsidP="0012021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029376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E00AD5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D1C" w:rsidRPr="00520336" w14:paraId="12B78047" w14:textId="77777777" w:rsidTr="00392D1C">
        <w:tc>
          <w:tcPr>
            <w:tcW w:w="3147" w:type="dxa"/>
            <w:shd w:val="clear" w:color="auto" w:fill="auto"/>
          </w:tcPr>
          <w:p w14:paraId="6BEABB89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t>Other Costs</w:t>
            </w:r>
          </w:p>
        </w:tc>
        <w:tc>
          <w:tcPr>
            <w:tcW w:w="1560" w:type="dxa"/>
            <w:shd w:val="clear" w:color="auto" w:fill="auto"/>
          </w:tcPr>
          <w:p w14:paraId="2729600C" w14:textId="02A2B777" w:rsidR="00392D1C" w:rsidRPr="0094171A" w:rsidRDefault="00392D1C" w:rsidP="00392D1C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71A">
              <w:rPr>
                <w:rFonts w:ascii="Arial" w:hAnsi="Arial" w:cs="Arial"/>
                <w:bCs/>
                <w:sz w:val="24"/>
                <w:szCs w:val="24"/>
              </w:rPr>
              <w:t>0.030</w:t>
            </w:r>
          </w:p>
        </w:tc>
        <w:tc>
          <w:tcPr>
            <w:tcW w:w="1559" w:type="dxa"/>
            <w:shd w:val="clear" w:color="auto" w:fill="auto"/>
          </w:tcPr>
          <w:p w14:paraId="795667C6" w14:textId="632E4D71" w:rsidR="00392D1C" w:rsidRPr="0094171A" w:rsidRDefault="00392D1C" w:rsidP="00392D1C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71A">
              <w:rPr>
                <w:rFonts w:ascii="Arial" w:hAnsi="Arial" w:cs="Arial"/>
                <w:bCs/>
                <w:sz w:val="24"/>
                <w:szCs w:val="24"/>
              </w:rPr>
              <w:t>0.060</w:t>
            </w:r>
          </w:p>
        </w:tc>
        <w:tc>
          <w:tcPr>
            <w:tcW w:w="1559" w:type="dxa"/>
            <w:shd w:val="clear" w:color="auto" w:fill="auto"/>
          </w:tcPr>
          <w:p w14:paraId="02D818B6" w14:textId="562BD2F0" w:rsidR="00392D1C" w:rsidRPr="0094171A" w:rsidRDefault="00392D1C" w:rsidP="00392D1C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4171A">
              <w:rPr>
                <w:rFonts w:ascii="Arial" w:hAnsi="Arial" w:cs="Arial"/>
                <w:bCs/>
                <w:sz w:val="24"/>
                <w:szCs w:val="24"/>
              </w:rPr>
              <w:t>0.060</w:t>
            </w:r>
          </w:p>
        </w:tc>
      </w:tr>
      <w:tr w:rsidR="00392D1C" w:rsidRPr="00520336" w14:paraId="068916D8" w14:textId="77777777" w:rsidTr="00392D1C">
        <w:tc>
          <w:tcPr>
            <w:tcW w:w="3147" w:type="dxa"/>
            <w:shd w:val="clear" w:color="auto" w:fill="auto"/>
          </w:tcPr>
          <w:p w14:paraId="24C0EA87" w14:textId="5D9E0F1C" w:rsidR="00392D1C" w:rsidRPr="00FA0589" w:rsidRDefault="00392D1C" w:rsidP="00392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0589">
              <w:rPr>
                <w:rFonts w:ascii="Arial" w:hAnsi="Arial" w:cs="Arial"/>
                <w:sz w:val="24"/>
                <w:szCs w:val="24"/>
              </w:rPr>
              <w:t xml:space="preserve">Income lost </w:t>
            </w:r>
          </w:p>
        </w:tc>
        <w:tc>
          <w:tcPr>
            <w:tcW w:w="1560" w:type="dxa"/>
            <w:shd w:val="clear" w:color="auto" w:fill="auto"/>
          </w:tcPr>
          <w:p w14:paraId="17F20281" w14:textId="77777777" w:rsidR="00392D1C" w:rsidRPr="00FA0589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A56D0F3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9ADC0F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1C" w:rsidRPr="00520336" w14:paraId="7848A1DC" w14:textId="77777777" w:rsidTr="00392D1C">
        <w:tc>
          <w:tcPr>
            <w:tcW w:w="3147" w:type="dxa"/>
            <w:shd w:val="clear" w:color="auto" w:fill="auto"/>
          </w:tcPr>
          <w:p w14:paraId="543E05AE" w14:textId="77777777" w:rsidR="00392D1C" w:rsidRPr="00FA0589" w:rsidRDefault="00392D1C" w:rsidP="001202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0589">
              <w:rPr>
                <w:rFonts w:ascii="Arial" w:hAnsi="Arial" w:cs="Arial"/>
                <w:b/>
                <w:sz w:val="24"/>
                <w:szCs w:val="24"/>
              </w:rPr>
              <w:t>Net Efficiencies</w:t>
            </w:r>
          </w:p>
        </w:tc>
        <w:tc>
          <w:tcPr>
            <w:tcW w:w="1560" w:type="dxa"/>
            <w:shd w:val="clear" w:color="auto" w:fill="auto"/>
          </w:tcPr>
          <w:p w14:paraId="6A6CBA4D" w14:textId="157A4F86" w:rsidR="00392D1C" w:rsidRPr="00FA0589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0.030</w:t>
            </w:r>
          </w:p>
        </w:tc>
        <w:tc>
          <w:tcPr>
            <w:tcW w:w="1559" w:type="dxa"/>
            <w:shd w:val="clear" w:color="auto" w:fill="auto"/>
          </w:tcPr>
          <w:p w14:paraId="683410DC" w14:textId="1CAB2E19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0.060</w:t>
            </w:r>
          </w:p>
        </w:tc>
        <w:tc>
          <w:tcPr>
            <w:tcW w:w="1559" w:type="dxa"/>
            <w:shd w:val="clear" w:color="auto" w:fill="auto"/>
          </w:tcPr>
          <w:p w14:paraId="3077AF8D" w14:textId="2A7EC04B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0.060</w:t>
            </w:r>
          </w:p>
        </w:tc>
      </w:tr>
      <w:tr w:rsidR="00392D1C" w:rsidRPr="00520336" w14:paraId="055B4D4A" w14:textId="77777777" w:rsidTr="00392D1C">
        <w:tc>
          <w:tcPr>
            <w:tcW w:w="3147" w:type="dxa"/>
            <w:shd w:val="clear" w:color="auto" w:fill="auto"/>
          </w:tcPr>
          <w:p w14:paraId="157661CC" w14:textId="13B6933F" w:rsidR="00392D1C" w:rsidRPr="00FA0589" w:rsidRDefault="00392D1C" w:rsidP="00392D1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A0589">
              <w:rPr>
                <w:rFonts w:ascii="Arial" w:hAnsi="Arial" w:cs="Arial"/>
                <w:sz w:val="24"/>
                <w:szCs w:val="24"/>
              </w:rPr>
              <w:t xml:space="preserve">Additional income generated </w:t>
            </w:r>
          </w:p>
        </w:tc>
        <w:tc>
          <w:tcPr>
            <w:tcW w:w="1560" w:type="dxa"/>
            <w:shd w:val="clear" w:color="auto" w:fill="auto"/>
          </w:tcPr>
          <w:p w14:paraId="79927FBC" w14:textId="77777777" w:rsidR="00392D1C" w:rsidRPr="00FA0589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3B4B15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BC1ACD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1C" w:rsidRPr="00520336" w14:paraId="33498670" w14:textId="77777777" w:rsidTr="00392D1C">
        <w:tc>
          <w:tcPr>
            <w:tcW w:w="3147" w:type="dxa"/>
            <w:shd w:val="clear" w:color="auto" w:fill="auto"/>
          </w:tcPr>
          <w:p w14:paraId="1AB0D32C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0336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b/>
                <w:sz w:val="24"/>
                <w:szCs w:val="24"/>
              </w:rPr>
              <w:t>Efficiencies</w:t>
            </w:r>
          </w:p>
        </w:tc>
        <w:tc>
          <w:tcPr>
            <w:tcW w:w="1560" w:type="dxa"/>
            <w:shd w:val="clear" w:color="auto" w:fill="auto"/>
          </w:tcPr>
          <w:p w14:paraId="0CA1F6CF" w14:textId="7FF9104D" w:rsidR="00392D1C" w:rsidRPr="00FA0589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0.030</w:t>
            </w:r>
          </w:p>
        </w:tc>
        <w:tc>
          <w:tcPr>
            <w:tcW w:w="1559" w:type="dxa"/>
            <w:shd w:val="clear" w:color="auto" w:fill="auto"/>
          </w:tcPr>
          <w:p w14:paraId="3C86230A" w14:textId="6FB24B9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0.060</w:t>
            </w:r>
          </w:p>
        </w:tc>
        <w:tc>
          <w:tcPr>
            <w:tcW w:w="1559" w:type="dxa"/>
            <w:shd w:val="clear" w:color="auto" w:fill="auto"/>
          </w:tcPr>
          <w:p w14:paraId="00FB072F" w14:textId="4AAE356B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0.060</w:t>
            </w:r>
          </w:p>
        </w:tc>
      </w:tr>
      <w:tr w:rsidR="00392D1C" w:rsidRPr="00520336" w14:paraId="3B05E647" w14:textId="77777777" w:rsidTr="00392D1C">
        <w:tc>
          <w:tcPr>
            <w:tcW w:w="3147" w:type="dxa"/>
            <w:shd w:val="clear" w:color="auto" w:fill="auto"/>
          </w:tcPr>
          <w:p w14:paraId="26B74849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0336">
              <w:rPr>
                <w:rFonts w:ascii="Arial" w:hAnsi="Arial" w:cs="Arial"/>
                <w:sz w:val="24"/>
                <w:szCs w:val="24"/>
              </w:rPr>
              <w:lastRenderedPageBreak/>
              <w:t>Implementation costs</w:t>
            </w:r>
          </w:p>
        </w:tc>
        <w:tc>
          <w:tcPr>
            <w:tcW w:w="1560" w:type="dxa"/>
            <w:shd w:val="clear" w:color="auto" w:fill="auto"/>
          </w:tcPr>
          <w:p w14:paraId="605CEAF0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ADF1E5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25CFEF" w14:textId="7777777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D1C" w:rsidRPr="00520336" w14:paraId="252D3B72" w14:textId="77777777" w:rsidTr="00392D1C">
        <w:tc>
          <w:tcPr>
            <w:tcW w:w="3147" w:type="dxa"/>
            <w:shd w:val="clear" w:color="auto" w:fill="auto"/>
          </w:tcPr>
          <w:p w14:paraId="6C600470" w14:textId="77777777" w:rsidR="00392D1C" w:rsidRPr="00520336" w:rsidRDefault="00392D1C" w:rsidP="0012021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0336">
              <w:rPr>
                <w:rFonts w:ascii="Arial" w:hAnsi="Arial" w:cs="Arial"/>
                <w:b/>
                <w:sz w:val="24"/>
                <w:szCs w:val="24"/>
              </w:rPr>
              <w:t xml:space="preserve">Total savings less implementation costs </w:t>
            </w:r>
          </w:p>
        </w:tc>
        <w:tc>
          <w:tcPr>
            <w:tcW w:w="1560" w:type="dxa"/>
            <w:shd w:val="clear" w:color="auto" w:fill="auto"/>
          </w:tcPr>
          <w:p w14:paraId="3A9723F0" w14:textId="48273877" w:rsidR="00392D1C" w:rsidRPr="00FA0589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0.030</w:t>
            </w:r>
          </w:p>
        </w:tc>
        <w:tc>
          <w:tcPr>
            <w:tcW w:w="1559" w:type="dxa"/>
            <w:shd w:val="clear" w:color="auto" w:fill="auto"/>
          </w:tcPr>
          <w:p w14:paraId="534A93B7" w14:textId="31A3122C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0.060</w:t>
            </w:r>
          </w:p>
        </w:tc>
        <w:tc>
          <w:tcPr>
            <w:tcW w:w="1559" w:type="dxa"/>
            <w:shd w:val="clear" w:color="auto" w:fill="auto"/>
          </w:tcPr>
          <w:p w14:paraId="6F11B20A" w14:textId="605D0EE7" w:rsidR="00392D1C" w:rsidRPr="00520336" w:rsidRDefault="00392D1C" w:rsidP="00392D1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776697B">
              <w:rPr>
                <w:rFonts w:ascii="Arial" w:hAnsi="Arial" w:cs="Arial"/>
                <w:b/>
                <w:bCs/>
                <w:sz w:val="24"/>
                <w:szCs w:val="24"/>
              </w:rPr>
              <w:t>0.060</w:t>
            </w:r>
          </w:p>
        </w:tc>
      </w:tr>
    </w:tbl>
    <w:p w14:paraId="534E4AD9" w14:textId="77777777" w:rsidR="008D6500" w:rsidRPr="00171D81" w:rsidRDefault="008D6500" w:rsidP="008D6500">
      <w:pPr>
        <w:rPr>
          <w:rFonts w:ascii="Arial" w:hAnsi="Arial" w:cs="Arial"/>
          <w:sz w:val="24"/>
          <w:szCs w:val="24"/>
        </w:rPr>
      </w:pPr>
    </w:p>
    <w:p w14:paraId="7D9A36C7" w14:textId="5BA3D835" w:rsidR="00C46E45" w:rsidRDefault="008A2A1A" w:rsidP="00C46E4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171D81">
        <w:rPr>
          <w:rFonts w:ascii="Arial" w:hAnsi="Arial" w:cs="Arial"/>
          <w:b/>
          <w:color w:val="auto"/>
          <w:sz w:val="24"/>
          <w:szCs w:val="24"/>
        </w:rPr>
        <w:t>Legal</w:t>
      </w:r>
    </w:p>
    <w:p w14:paraId="37AA56BA" w14:textId="77777777" w:rsidR="00392D1C" w:rsidRPr="00392D1C" w:rsidRDefault="00392D1C" w:rsidP="00392D1C"/>
    <w:p w14:paraId="2034693B" w14:textId="637194D7" w:rsidR="008D6500" w:rsidRPr="00171D81" w:rsidRDefault="008A2A1A" w:rsidP="0012021F">
      <w:pPr>
        <w:ind w:left="720" w:hanging="720"/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>7.1</w:t>
      </w:r>
      <w:r>
        <w:tab/>
      </w:r>
      <w:r w:rsidR="45E96610" w:rsidRPr="064EDF29">
        <w:rPr>
          <w:rFonts w:ascii="Arial" w:hAnsi="Arial" w:cs="Arial"/>
          <w:sz w:val="24"/>
          <w:szCs w:val="24"/>
        </w:rPr>
        <w:t>If required, t</w:t>
      </w:r>
      <w:r w:rsidR="0012021F" w:rsidRPr="064EDF29">
        <w:rPr>
          <w:rFonts w:ascii="Arial" w:hAnsi="Arial" w:cs="Arial"/>
          <w:sz w:val="24"/>
          <w:szCs w:val="24"/>
        </w:rPr>
        <w:t>he council must ensure compliance with any legal obligations related to the closure of public facilities, including consultations with affected clubs and adherence to property disposal regulations.</w:t>
      </w:r>
    </w:p>
    <w:p w14:paraId="15B5B682" w14:textId="1CCDDF82" w:rsidR="003B489C" w:rsidRDefault="008A2A1A" w:rsidP="003B489C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171D81">
        <w:rPr>
          <w:rFonts w:ascii="Arial" w:hAnsi="Arial" w:cs="Arial"/>
          <w:b/>
          <w:color w:val="auto"/>
          <w:sz w:val="24"/>
          <w:szCs w:val="24"/>
        </w:rPr>
        <w:t xml:space="preserve">Human resource </w:t>
      </w:r>
    </w:p>
    <w:p w14:paraId="21045213" w14:textId="77777777" w:rsidR="00392D1C" w:rsidRPr="00392D1C" w:rsidRDefault="00392D1C" w:rsidP="00392D1C"/>
    <w:p w14:paraId="772743EF" w14:textId="42C82AB9" w:rsidR="003B489C" w:rsidRPr="00171D81" w:rsidRDefault="008A2A1A" w:rsidP="0012021F">
      <w:pPr>
        <w:ind w:left="720" w:hanging="720"/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t>8.1</w:t>
      </w:r>
      <w:r>
        <w:tab/>
      </w:r>
      <w:r w:rsidR="0012021F" w:rsidRPr="064EDF29">
        <w:rPr>
          <w:rFonts w:ascii="Arial" w:hAnsi="Arial" w:cs="Arial"/>
          <w:sz w:val="24"/>
          <w:szCs w:val="24"/>
        </w:rPr>
        <w:t xml:space="preserve">Staffing adjustments </w:t>
      </w:r>
      <w:r w:rsidR="6D400E5C" w:rsidRPr="064EDF29">
        <w:rPr>
          <w:rFonts w:ascii="Arial" w:hAnsi="Arial" w:cs="Arial"/>
          <w:sz w:val="24"/>
          <w:szCs w:val="24"/>
        </w:rPr>
        <w:t>may</w:t>
      </w:r>
      <w:r w:rsidR="0012021F" w:rsidRPr="064EDF29">
        <w:rPr>
          <w:rFonts w:ascii="Arial" w:hAnsi="Arial" w:cs="Arial"/>
          <w:sz w:val="24"/>
          <w:szCs w:val="24"/>
        </w:rPr>
        <w:t xml:space="preserve"> be required </w:t>
      </w:r>
      <w:r w:rsidR="4F5A44C3" w:rsidRPr="064EDF29">
        <w:rPr>
          <w:rFonts w:ascii="Arial" w:hAnsi="Arial" w:cs="Arial"/>
          <w:sz w:val="24"/>
          <w:szCs w:val="24"/>
        </w:rPr>
        <w:t>i</w:t>
      </w:r>
      <w:r w:rsidR="6DCB35C0" w:rsidRPr="064EDF29">
        <w:rPr>
          <w:rFonts w:ascii="Arial" w:hAnsi="Arial" w:cs="Arial"/>
          <w:sz w:val="24"/>
          <w:szCs w:val="24"/>
        </w:rPr>
        <w:t>f clubs take on grounds maintenance duties</w:t>
      </w:r>
      <w:r w:rsidR="0012021F" w:rsidRPr="064EDF29">
        <w:rPr>
          <w:rFonts w:ascii="Arial" w:hAnsi="Arial" w:cs="Arial"/>
          <w:sz w:val="24"/>
          <w:szCs w:val="24"/>
        </w:rPr>
        <w:t>. Two full-time equivalent (FTE) staff can be repurposed to other vacant posts. Any transfer of maintenance to bowls clubs will necessitate discussions regarding staff roles and responsibilities.</w:t>
      </w:r>
    </w:p>
    <w:p w14:paraId="38661632" w14:textId="3DCD6032" w:rsidR="003B489C" w:rsidRDefault="008A2A1A" w:rsidP="00C46E4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Sustainability</w:t>
      </w:r>
      <w:r w:rsidR="00306BB0" w:rsidRPr="00171D81">
        <w:rPr>
          <w:rFonts w:ascii="Arial" w:hAnsi="Arial" w:cs="Arial"/>
          <w:b/>
          <w:color w:val="auto"/>
          <w:sz w:val="24"/>
          <w:szCs w:val="24"/>
        </w:rPr>
        <w:t xml:space="preserve"> i</w:t>
      </w:r>
      <w:r w:rsidRPr="00171D81">
        <w:rPr>
          <w:rFonts w:ascii="Arial" w:hAnsi="Arial" w:cs="Arial"/>
          <w:b/>
          <w:color w:val="auto"/>
          <w:sz w:val="24"/>
          <w:szCs w:val="24"/>
        </w:rPr>
        <w:t>mpact</w:t>
      </w:r>
    </w:p>
    <w:p w14:paraId="0AF027F9" w14:textId="77777777" w:rsidR="00392D1C" w:rsidRPr="00392D1C" w:rsidRDefault="00392D1C" w:rsidP="00392D1C"/>
    <w:p w14:paraId="7B510DA6" w14:textId="59268F2E" w:rsidR="263FE53D" w:rsidRDefault="263FE53D" w:rsidP="064EDF29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64EDF29">
        <w:rPr>
          <w:rFonts w:ascii="Arial" w:hAnsi="Arial" w:cs="Arial"/>
          <w:sz w:val="24"/>
          <w:szCs w:val="24"/>
        </w:rPr>
        <w:lastRenderedPageBreak/>
        <w:t>It is not anticipated there will be any negative sustainability impact as a result of proposed changes.  If the report is accepted and Bowls Clubs opt to take on responsibility for paying utility costs, the</w:t>
      </w:r>
      <w:r w:rsidR="5515DD4A" w:rsidRPr="064EDF29">
        <w:rPr>
          <w:rFonts w:ascii="Arial" w:hAnsi="Arial" w:cs="Arial"/>
          <w:sz w:val="24"/>
          <w:szCs w:val="24"/>
        </w:rPr>
        <w:t>n there is greater incentive to only heat building as is absolutely needed</w:t>
      </w:r>
      <w:r w:rsidRPr="064EDF29">
        <w:rPr>
          <w:rFonts w:ascii="Arial" w:hAnsi="Arial" w:cs="Arial"/>
          <w:sz w:val="24"/>
          <w:szCs w:val="24"/>
        </w:rPr>
        <w:t xml:space="preserve"> </w:t>
      </w:r>
      <w:r w:rsidR="4B57885C" w:rsidRPr="064EDF29">
        <w:rPr>
          <w:rFonts w:ascii="Arial" w:hAnsi="Arial" w:cs="Arial"/>
          <w:sz w:val="24"/>
          <w:szCs w:val="24"/>
        </w:rPr>
        <w:t>and carbon footprint may reduce.</w:t>
      </w:r>
    </w:p>
    <w:p w14:paraId="045C9344" w14:textId="3A3A2BB6" w:rsidR="00247DD5" w:rsidRDefault="008A2A1A" w:rsidP="00247DD5">
      <w:pPr>
        <w:pStyle w:val="Heading2"/>
        <w:numPr>
          <w:ilvl w:val="0"/>
          <w:numId w:val="10"/>
        </w:numPr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Other considerations (</w:t>
      </w:r>
      <w:r w:rsidR="00171D81">
        <w:rPr>
          <w:rFonts w:ascii="Arial" w:hAnsi="Arial" w:cs="Arial"/>
          <w:b/>
          <w:color w:val="auto"/>
          <w:sz w:val="24"/>
          <w:szCs w:val="24"/>
        </w:rPr>
        <w:t>corporate priorities, r</w:t>
      </w:r>
      <w:r w:rsidR="00256DA7" w:rsidRPr="00171D81">
        <w:rPr>
          <w:rFonts w:ascii="Arial" w:hAnsi="Arial" w:cs="Arial"/>
          <w:b/>
          <w:color w:val="auto"/>
          <w:sz w:val="24"/>
          <w:szCs w:val="24"/>
        </w:rPr>
        <w:t>isks</w:t>
      </w:r>
      <w:r w:rsidR="00B80CA5">
        <w:rPr>
          <w:rFonts w:ascii="Arial" w:hAnsi="Arial" w:cs="Arial"/>
          <w:b/>
          <w:color w:val="auto"/>
          <w:sz w:val="24"/>
          <w:szCs w:val="24"/>
        </w:rPr>
        <w:t>)</w:t>
      </w:r>
    </w:p>
    <w:p w14:paraId="64ABBE0E" w14:textId="77777777" w:rsidR="00392D1C" w:rsidRPr="00392D1C" w:rsidRDefault="00392D1C" w:rsidP="00392D1C"/>
    <w:p w14:paraId="6E8A555E" w14:textId="77777777" w:rsidR="00247DD5" w:rsidRDefault="0012021F" w:rsidP="0012021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215D911B">
        <w:rPr>
          <w:rFonts w:ascii="Arial" w:hAnsi="Arial" w:cs="Arial"/>
          <w:sz w:val="24"/>
          <w:szCs w:val="24"/>
        </w:rPr>
        <w:t>Community feedback and potential backlash from bowls clubs must be considered in the decision-making process.</w:t>
      </w:r>
    </w:p>
    <w:p w14:paraId="470EEE6E" w14:textId="3DE1ED49" w:rsidR="215D911B" w:rsidRDefault="215D911B" w:rsidP="215D911B">
      <w:pPr>
        <w:pStyle w:val="ListParagraph"/>
        <w:rPr>
          <w:rFonts w:ascii="Arial" w:hAnsi="Arial" w:cs="Arial"/>
          <w:sz w:val="24"/>
          <w:szCs w:val="24"/>
        </w:rPr>
      </w:pPr>
    </w:p>
    <w:p w14:paraId="4BF9E3CB" w14:textId="77777777" w:rsidR="0012021F" w:rsidRDefault="0012021F" w:rsidP="0012021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215D911B">
        <w:rPr>
          <w:rFonts w:ascii="Arial" w:hAnsi="Arial" w:cs="Arial"/>
          <w:sz w:val="24"/>
          <w:szCs w:val="24"/>
        </w:rPr>
        <w:t>The impact on local sports and recreation should be assessed to maintain community well-being and public health benefits.</w:t>
      </w:r>
    </w:p>
    <w:p w14:paraId="0AEDDD60" w14:textId="46F5092D" w:rsidR="215D911B" w:rsidRDefault="215D911B" w:rsidP="215D911B">
      <w:pPr>
        <w:pStyle w:val="ListParagraph"/>
        <w:rPr>
          <w:rFonts w:ascii="Arial" w:hAnsi="Arial" w:cs="Arial"/>
          <w:sz w:val="24"/>
          <w:szCs w:val="24"/>
        </w:rPr>
      </w:pPr>
    </w:p>
    <w:p w14:paraId="42AC1475" w14:textId="6E6F5F63" w:rsidR="0012021F" w:rsidRDefault="0012021F" w:rsidP="602283E5">
      <w:pPr>
        <w:pStyle w:val="ListParagraph"/>
        <w:numPr>
          <w:ilvl w:val="1"/>
          <w:numId w:val="10"/>
        </w:numPr>
        <w:sectPr w:rsidR="0012021F" w:rsidSect="003E230D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64EDF29">
        <w:rPr>
          <w:rFonts w:ascii="Arial" w:hAnsi="Arial" w:cs="Arial"/>
          <w:sz w:val="24"/>
          <w:szCs w:val="24"/>
        </w:rPr>
        <w:lastRenderedPageBreak/>
        <w:t>The council should explore opportunities for community engagement to encourage wider participation</w:t>
      </w:r>
      <w:r w:rsidR="1AAA31C3" w:rsidRPr="064EDF29">
        <w:rPr>
          <w:rFonts w:ascii="Arial" w:hAnsi="Arial" w:cs="Arial"/>
          <w:sz w:val="24"/>
          <w:szCs w:val="24"/>
        </w:rPr>
        <w:t>.</w:t>
      </w:r>
    </w:p>
    <w:p w14:paraId="5E9992C9" w14:textId="2C612DBB" w:rsidR="00387254" w:rsidRDefault="008A2A1A" w:rsidP="00B1531A">
      <w:pPr>
        <w:rPr>
          <w:rFonts w:ascii="Arial" w:hAnsi="Arial" w:cs="Arial"/>
          <w:sz w:val="24"/>
          <w:szCs w:val="24"/>
        </w:rPr>
      </w:pPr>
      <w:r w:rsidRPr="602283E5">
        <w:rPr>
          <w:rFonts w:ascii="Arial" w:hAnsi="Arial" w:cs="Arial"/>
          <w:sz w:val="24"/>
          <w:szCs w:val="24"/>
        </w:rPr>
        <w:t>Background Papers:</w:t>
      </w:r>
      <w:r w:rsidR="392D4D9F" w:rsidRPr="602283E5">
        <w:rPr>
          <w:rFonts w:ascii="Arial" w:hAnsi="Arial" w:cs="Arial"/>
          <w:sz w:val="24"/>
          <w:szCs w:val="24"/>
        </w:rPr>
        <w:t xml:space="preserve"> Ian Trickett</w:t>
      </w:r>
      <w:r>
        <w:br/>
      </w:r>
      <w:r w:rsidRPr="602283E5">
        <w:rPr>
          <w:rFonts w:ascii="Arial" w:hAnsi="Arial" w:cs="Arial"/>
          <w:sz w:val="24"/>
          <w:szCs w:val="24"/>
        </w:rPr>
        <w:t>Contact:</w:t>
      </w:r>
      <w:r w:rsidR="6A2FA854" w:rsidRPr="602283E5">
        <w:rPr>
          <w:rFonts w:ascii="Arial" w:hAnsi="Arial" w:cs="Arial"/>
          <w:sz w:val="24"/>
          <w:szCs w:val="24"/>
        </w:rPr>
        <w:t xml:space="preserve"> </w:t>
      </w:r>
      <w:hyperlink r:id="rId10">
        <w:r w:rsidR="6A2FA854" w:rsidRPr="602283E5">
          <w:rPr>
            <w:rStyle w:val="Hyperlink"/>
            <w:rFonts w:ascii="Arial" w:hAnsi="Arial" w:cs="Arial"/>
            <w:sz w:val="24"/>
            <w:szCs w:val="24"/>
          </w:rPr>
          <w:t>ian.trickett@rochdale.gov.uk</w:t>
        </w:r>
      </w:hyperlink>
      <w:r w:rsidR="6A2FA854" w:rsidRPr="602283E5">
        <w:rPr>
          <w:rFonts w:ascii="Arial" w:hAnsi="Arial" w:cs="Arial"/>
          <w:sz w:val="24"/>
          <w:szCs w:val="24"/>
        </w:rPr>
        <w:t xml:space="preserve"> </w:t>
      </w:r>
    </w:p>
    <w:p w14:paraId="44A11165" w14:textId="77777777" w:rsidR="00B81269" w:rsidRPr="00171D81" w:rsidRDefault="00B81269" w:rsidP="00B81269">
      <w:pPr>
        <w:tabs>
          <w:tab w:val="left" w:pos="2235"/>
        </w:tabs>
        <w:rPr>
          <w:rFonts w:ascii="Arial" w:hAnsi="Arial" w:cs="Arial"/>
          <w:sz w:val="24"/>
          <w:szCs w:val="24"/>
        </w:rPr>
      </w:pPr>
    </w:p>
    <w:sectPr w:rsidR="00B81269" w:rsidRPr="00171D81" w:rsidSect="003E23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B3BB33" w16cex:dateUtc="2024-11-18T16:10:16.58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AEB45" w16cid:durableId="7CB3BB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1BC"/>
    <w:multiLevelType w:val="hybridMultilevel"/>
    <w:tmpl w:val="8A8CBCD4"/>
    <w:lvl w:ilvl="0" w:tplc="6BE83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5D92" w:tentative="1">
      <w:start w:val="1"/>
      <w:numFmt w:val="lowerLetter"/>
      <w:lvlText w:val="%2."/>
      <w:lvlJc w:val="left"/>
      <w:pPr>
        <w:ind w:left="1440" w:hanging="360"/>
      </w:pPr>
    </w:lvl>
    <w:lvl w:ilvl="2" w:tplc="0AFE20EA" w:tentative="1">
      <w:start w:val="1"/>
      <w:numFmt w:val="lowerRoman"/>
      <w:lvlText w:val="%3."/>
      <w:lvlJc w:val="right"/>
      <w:pPr>
        <w:ind w:left="2160" w:hanging="180"/>
      </w:pPr>
    </w:lvl>
    <w:lvl w:ilvl="3" w:tplc="FACAD508" w:tentative="1">
      <w:start w:val="1"/>
      <w:numFmt w:val="decimal"/>
      <w:lvlText w:val="%4."/>
      <w:lvlJc w:val="left"/>
      <w:pPr>
        <w:ind w:left="2880" w:hanging="360"/>
      </w:pPr>
    </w:lvl>
    <w:lvl w:ilvl="4" w:tplc="3F7E13E6" w:tentative="1">
      <w:start w:val="1"/>
      <w:numFmt w:val="lowerLetter"/>
      <w:lvlText w:val="%5."/>
      <w:lvlJc w:val="left"/>
      <w:pPr>
        <w:ind w:left="3600" w:hanging="360"/>
      </w:pPr>
    </w:lvl>
    <w:lvl w:ilvl="5" w:tplc="E3D885CE" w:tentative="1">
      <w:start w:val="1"/>
      <w:numFmt w:val="lowerRoman"/>
      <w:lvlText w:val="%6."/>
      <w:lvlJc w:val="right"/>
      <w:pPr>
        <w:ind w:left="4320" w:hanging="180"/>
      </w:pPr>
    </w:lvl>
    <w:lvl w:ilvl="6" w:tplc="D3389658" w:tentative="1">
      <w:start w:val="1"/>
      <w:numFmt w:val="decimal"/>
      <w:lvlText w:val="%7."/>
      <w:lvlJc w:val="left"/>
      <w:pPr>
        <w:ind w:left="5040" w:hanging="360"/>
      </w:pPr>
    </w:lvl>
    <w:lvl w:ilvl="7" w:tplc="55A40DCA" w:tentative="1">
      <w:start w:val="1"/>
      <w:numFmt w:val="lowerLetter"/>
      <w:lvlText w:val="%8."/>
      <w:lvlJc w:val="left"/>
      <w:pPr>
        <w:ind w:left="5760" w:hanging="360"/>
      </w:pPr>
    </w:lvl>
    <w:lvl w:ilvl="8" w:tplc="4E86C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19B4"/>
    <w:multiLevelType w:val="hybridMultilevel"/>
    <w:tmpl w:val="5A888EFA"/>
    <w:lvl w:ilvl="0" w:tplc="B8DE9880">
      <w:numFmt w:val="none"/>
      <w:lvlText w:val=""/>
      <w:lvlJc w:val="left"/>
      <w:pPr>
        <w:tabs>
          <w:tab w:val="num" w:pos="360"/>
        </w:tabs>
      </w:pPr>
    </w:lvl>
    <w:lvl w:ilvl="1" w:tplc="DB4EFCEA">
      <w:start w:val="1"/>
      <w:numFmt w:val="lowerLetter"/>
      <w:lvlText w:val="%2."/>
      <w:lvlJc w:val="left"/>
      <w:pPr>
        <w:ind w:left="1800" w:hanging="360"/>
      </w:pPr>
    </w:lvl>
    <w:lvl w:ilvl="2" w:tplc="4DFE5B4C">
      <w:start w:val="1"/>
      <w:numFmt w:val="lowerRoman"/>
      <w:lvlText w:val="%3."/>
      <w:lvlJc w:val="right"/>
      <w:pPr>
        <w:ind w:left="2520" w:hanging="180"/>
      </w:pPr>
    </w:lvl>
    <w:lvl w:ilvl="3" w:tplc="0CCC5664">
      <w:start w:val="1"/>
      <w:numFmt w:val="decimal"/>
      <w:lvlText w:val="%4."/>
      <w:lvlJc w:val="left"/>
      <w:pPr>
        <w:ind w:left="3240" w:hanging="360"/>
      </w:pPr>
    </w:lvl>
    <w:lvl w:ilvl="4" w:tplc="8DD0CB4A">
      <w:start w:val="1"/>
      <w:numFmt w:val="lowerLetter"/>
      <w:lvlText w:val="%5."/>
      <w:lvlJc w:val="left"/>
      <w:pPr>
        <w:ind w:left="3960" w:hanging="360"/>
      </w:pPr>
    </w:lvl>
    <w:lvl w:ilvl="5" w:tplc="7958AC38">
      <w:start w:val="1"/>
      <w:numFmt w:val="lowerRoman"/>
      <w:lvlText w:val="%6."/>
      <w:lvlJc w:val="right"/>
      <w:pPr>
        <w:ind w:left="4680" w:hanging="180"/>
      </w:pPr>
    </w:lvl>
    <w:lvl w:ilvl="6" w:tplc="8422B424">
      <w:start w:val="1"/>
      <w:numFmt w:val="decimal"/>
      <w:lvlText w:val="%7."/>
      <w:lvlJc w:val="left"/>
      <w:pPr>
        <w:ind w:left="5400" w:hanging="360"/>
      </w:pPr>
    </w:lvl>
    <w:lvl w:ilvl="7" w:tplc="4886D4E6">
      <w:start w:val="1"/>
      <w:numFmt w:val="lowerLetter"/>
      <w:lvlText w:val="%8."/>
      <w:lvlJc w:val="left"/>
      <w:pPr>
        <w:ind w:left="6120" w:hanging="360"/>
      </w:pPr>
    </w:lvl>
    <w:lvl w:ilvl="8" w:tplc="1C08A3F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157ED"/>
    <w:multiLevelType w:val="hybridMultilevel"/>
    <w:tmpl w:val="D7568C64"/>
    <w:lvl w:ilvl="0" w:tplc="47FAA60C">
      <w:numFmt w:val="none"/>
      <w:lvlText w:val=""/>
      <w:lvlJc w:val="left"/>
      <w:pPr>
        <w:tabs>
          <w:tab w:val="num" w:pos="360"/>
        </w:tabs>
      </w:pPr>
    </w:lvl>
    <w:lvl w:ilvl="1" w:tplc="CE8E96CE">
      <w:start w:val="1"/>
      <w:numFmt w:val="lowerLetter"/>
      <w:lvlText w:val="%2."/>
      <w:lvlJc w:val="left"/>
      <w:pPr>
        <w:ind w:left="1800" w:hanging="360"/>
      </w:pPr>
    </w:lvl>
    <w:lvl w:ilvl="2" w:tplc="E29CF754">
      <w:start w:val="1"/>
      <w:numFmt w:val="lowerRoman"/>
      <w:lvlText w:val="%3."/>
      <w:lvlJc w:val="right"/>
      <w:pPr>
        <w:ind w:left="2520" w:hanging="180"/>
      </w:pPr>
    </w:lvl>
    <w:lvl w:ilvl="3" w:tplc="007A95D8">
      <w:start w:val="1"/>
      <w:numFmt w:val="decimal"/>
      <w:lvlText w:val="%4."/>
      <w:lvlJc w:val="left"/>
      <w:pPr>
        <w:ind w:left="3240" w:hanging="360"/>
      </w:pPr>
    </w:lvl>
    <w:lvl w:ilvl="4" w:tplc="FD929670">
      <w:start w:val="1"/>
      <w:numFmt w:val="lowerLetter"/>
      <w:lvlText w:val="%5."/>
      <w:lvlJc w:val="left"/>
      <w:pPr>
        <w:ind w:left="3960" w:hanging="360"/>
      </w:pPr>
    </w:lvl>
    <w:lvl w:ilvl="5" w:tplc="ADE6D802">
      <w:start w:val="1"/>
      <w:numFmt w:val="lowerRoman"/>
      <w:lvlText w:val="%6."/>
      <w:lvlJc w:val="right"/>
      <w:pPr>
        <w:ind w:left="4680" w:hanging="180"/>
      </w:pPr>
    </w:lvl>
    <w:lvl w:ilvl="6" w:tplc="41E2DF3E">
      <w:start w:val="1"/>
      <w:numFmt w:val="decimal"/>
      <w:lvlText w:val="%7."/>
      <w:lvlJc w:val="left"/>
      <w:pPr>
        <w:ind w:left="5400" w:hanging="360"/>
      </w:pPr>
    </w:lvl>
    <w:lvl w:ilvl="7" w:tplc="DBD88A34">
      <w:start w:val="1"/>
      <w:numFmt w:val="lowerLetter"/>
      <w:lvlText w:val="%8."/>
      <w:lvlJc w:val="left"/>
      <w:pPr>
        <w:ind w:left="6120" w:hanging="360"/>
      </w:pPr>
    </w:lvl>
    <w:lvl w:ilvl="8" w:tplc="6EFAEFE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F07F7"/>
    <w:multiLevelType w:val="multilevel"/>
    <w:tmpl w:val="93548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1%2i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1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780418"/>
    <w:multiLevelType w:val="hybridMultilevel"/>
    <w:tmpl w:val="4C7ECD24"/>
    <w:lvl w:ilvl="0" w:tplc="703A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6874C4" w:tentative="1">
      <w:start w:val="1"/>
      <w:numFmt w:val="lowerLetter"/>
      <w:lvlText w:val="%2."/>
      <w:lvlJc w:val="left"/>
      <w:pPr>
        <w:ind w:left="1440" w:hanging="360"/>
      </w:pPr>
    </w:lvl>
    <w:lvl w:ilvl="2" w:tplc="FE56F29A" w:tentative="1">
      <w:start w:val="1"/>
      <w:numFmt w:val="lowerRoman"/>
      <w:lvlText w:val="%3."/>
      <w:lvlJc w:val="right"/>
      <w:pPr>
        <w:ind w:left="2160" w:hanging="180"/>
      </w:pPr>
    </w:lvl>
    <w:lvl w:ilvl="3" w:tplc="C63A2E7E" w:tentative="1">
      <w:start w:val="1"/>
      <w:numFmt w:val="decimal"/>
      <w:lvlText w:val="%4."/>
      <w:lvlJc w:val="left"/>
      <w:pPr>
        <w:ind w:left="2880" w:hanging="360"/>
      </w:pPr>
    </w:lvl>
    <w:lvl w:ilvl="4" w:tplc="F4A40238" w:tentative="1">
      <w:start w:val="1"/>
      <w:numFmt w:val="lowerLetter"/>
      <w:lvlText w:val="%5."/>
      <w:lvlJc w:val="left"/>
      <w:pPr>
        <w:ind w:left="3600" w:hanging="360"/>
      </w:pPr>
    </w:lvl>
    <w:lvl w:ilvl="5" w:tplc="A1BE679A" w:tentative="1">
      <w:start w:val="1"/>
      <w:numFmt w:val="lowerRoman"/>
      <w:lvlText w:val="%6."/>
      <w:lvlJc w:val="right"/>
      <w:pPr>
        <w:ind w:left="4320" w:hanging="180"/>
      </w:pPr>
    </w:lvl>
    <w:lvl w:ilvl="6" w:tplc="03DA0C0E" w:tentative="1">
      <w:start w:val="1"/>
      <w:numFmt w:val="decimal"/>
      <w:lvlText w:val="%7."/>
      <w:lvlJc w:val="left"/>
      <w:pPr>
        <w:ind w:left="5040" w:hanging="360"/>
      </w:pPr>
    </w:lvl>
    <w:lvl w:ilvl="7" w:tplc="CC101E08" w:tentative="1">
      <w:start w:val="1"/>
      <w:numFmt w:val="lowerLetter"/>
      <w:lvlText w:val="%8."/>
      <w:lvlJc w:val="left"/>
      <w:pPr>
        <w:ind w:left="5760" w:hanging="360"/>
      </w:pPr>
    </w:lvl>
    <w:lvl w:ilvl="8" w:tplc="789A1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351B"/>
    <w:multiLevelType w:val="hybridMultilevel"/>
    <w:tmpl w:val="7534E2EC"/>
    <w:lvl w:ilvl="0" w:tplc="204695DC">
      <w:numFmt w:val="none"/>
      <w:lvlText w:val=""/>
      <w:lvlJc w:val="left"/>
      <w:pPr>
        <w:tabs>
          <w:tab w:val="num" w:pos="360"/>
        </w:tabs>
      </w:pPr>
    </w:lvl>
    <w:lvl w:ilvl="1" w:tplc="7E4EED90">
      <w:start w:val="1"/>
      <w:numFmt w:val="lowerLetter"/>
      <w:lvlText w:val="%2."/>
      <w:lvlJc w:val="left"/>
      <w:pPr>
        <w:ind w:left="1800" w:hanging="360"/>
      </w:pPr>
    </w:lvl>
    <w:lvl w:ilvl="2" w:tplc="33E666EE">
      <w:start w:val="1"/>
      <w:numFmt w:val="lowerRoman"/>
      <w:lvlText w:val="%3."/>
      <w:lvlJc w:val="right"/>
      <w:pPr>
        <w:ind w:left="2520" w:hanging="180"/>
      </w:pPr>
    </w:lvl>
    <w:lvl w:ilvl="3" w:tplc="20ACAC5E">
      <w:start w:val="1"/>
      <w:numFmt w:val="decimal"/>
      <w:lvlText w:val="%4."/>
      <w:lvlJc w:val="left"/>
      <w:pPr>
        <w:ind w:left="3240" w:hanging="360"/>
      </w:pPr>
    </w:lvl>
    <w:lvl w:ilvl="4" w:tplc="095ED552">
      <w:start w:val="1"/>
      <w:numFmt w:val="lowerLetter"/>
      <w:lvlText w:val="%5."/>
      <w:lvlJc w:val="left"/>
      <w:pPr>
        <w:ind w:left="3960" w:hanging="360"/>
      </w:pPr>
    </w:lvl>
    <w:lvl w:ilvl="5" w:tplc="69DEE76A">
      <w:start w:val="1"/>
      <w:numFmt w:val="lowerRoman"/>
      <w:lvlText w:val="%6."/>
      <w:lvlJc w:val="right"/>
      <w:pPr>
        <w:ind w:left="4680" w:hanging="180"/>
      </w:pPr>
    </w:lvl>
    <w:lvl w:ilvl="6" w:tplc="89D89606">
      <w:start w:val="1"/>
      <w:numFmt w:val="decimal"/>
      <w:lvlText w:val="%7."/>
      <w:lvlJc w:val="left"/>
      <w:pPr>
        <w:ind w:left="5400" w:hanging="360"/>
      </w:pPr>
    </w:lvl>
    <w:lvl w:ilvl="7" w:tplc="133665DE">
      <w:start w:val="1"/>
      <w:numFmt w:val="lowerLetter"/>
      <w:lvlText w:val="%8."/>
      <w:lvlJc w:val="left"/>
      <w:pPr>
        <w:ind w:left="6120" w:hanging="360"/>
      </w:pPr>
    </w:lvl>
    <w:lvl w:ilvl="8" w:tplc="74AEB8E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857E7"/>
    <w:multiLevelType w:val="hybridMultilevel"/>
    <w:tmpl w:val="FC18BF08"/>
    <w:lvl w:ilvl="0" w:tplc="41B4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48760" w:tentative="1">
      <w:start w:val="1"/>
      <w:numFmt w:val="lowerLetter"/>
      <w:lvlText w:val="%2."/>
      <w:lvlJc w:val="left"/>
      <w:pPr>
        <w:ind w:left="1440" w:hanging="360"/>
      </w:pPr>
    </w:lvl>
    <w:lvl w:ilvl="2" w:tplc="DE6C79B6" w:tentative="1">
      <w:start w:val="1"/>
      <w:numFmt w:val="lowerRoman"/>
      <w:lvlText w:val="%3."/>
      <w:lvlJc w:val="right"/>
      <w:pPr>
        <w:ind w:left="2160" w:hanging="180"/>
      </w:pPr>
    </w:lvl>
    <w:lvl w:ilvl="3" w:tplc="E12273B4" w:tentative="1">
      <w:start w:val="1"/>
      <w:numFmt w:val="decimal"/>
      <w:lvlText w:val="%4."/>
      <w:lvlJc w:val="left"/>
      <w:pPr>
        <w:ind w:left="2880" w:hanging="360"/>
      </w:pPr>
    </w:lvl>
    <w:lvl w:ilvl="4" w:tplc="60B8027E" w:tentative="1">
      <w:start w:val="1"/>
      <w:numFmt w:val="lowerLetter"/>
      <w:lvlText w:val="%5."/>
      <w:lvlJc w:val="left"/>
      <w:pPr>
        <w:ind w:left="3600" w:hanging="360"/>
      </w:pPr>
    </w:lvl>
    <w:lvl w:ilvl="5" w:tplc="0AA80CFA" w:tentative="1">
      <w:start w:val="1"/>
      <w:numFmt w:val="lowerRoman"/>
      <w:lvlText w:val="%6."/>
      <w:lvlJc w:val="right"/>
      <w:pPr>
        <w:ind w:left="4320" w:hanging="180"/>
      </w:pPr>
    </w:lvl>
    <w:lvl w:ilvl="6" w:tplc="149E43EA" w:tentative="1">
      <w:start w:val="1"/>
      <w:numFmt w:val="decimal"/>
      <w:lvlText w:val="%7."/>
      <w:lvlJc w:val="left"/>
      <w:pPr>
        <w:ind w:left="5040" w:hanging="360"/>
      </w:pPr>
    </w:lvl>
    <w:lvl w:ilvl="7" w:tplc="B476C6E6" w:tentative="1">
      <w:start w:val="1"/>
      <w:numFmt w:val="lowerLetter"/>
      <w:lvlText w:val="%8."/>
      <w:lvlJc w:val="left"/>
      <w:pPr>
        <w:ind w:left="5760" w:hanging="360"/>
      </w:pPr>
    </w:lvl>
    <w:lvl w:ilvl="8" w:tplc="01DE1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63C05"/>
    <w:multiLevelType w:val="multilevel"/>
    <w:tmpl w:val="1FCA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7469A3"/>
    <w:multiLevelType w:val="hybridMultilevel"/>
    <w:tmpl w:val="395E25C8"/>
    <w:lvl w:ilvl="0" w:tplc="CA943F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946E116" w:tentative="1">
      <w:start w:val="1"/>
      <w:numFmt w:val="lowerLetter"/>
      <w:lvlText w:val="%2."/>
      <w:lvlJc w:val="left"/>
      <w:pPr>
        <w:ind w:left="1080" w:hanging="360"/>
      </w:pPr>
    </w:lvl>
    <w:lvl w:ilvl="2" w:tplc="9348BB8A" w:tentative="1">
      <w:start w:val="1"/>
      <w:numFmt w:val="lowerRoman"/>
      <w:lvlText w:val="%3."/>
      <w:lvlJc w:val="right"/>
      <w:pPr>
        <w:ind w:left="1800" w:hanging="180"/>
      </w:pPr>
    </w:lvl>
    <w:lvl w:ilvl="3" w:tplc="17A2277C" w:tentative="1">
      <w:start w:val="1"/>
      <w:numFmt w:val="decimal"/>
      <w:lvlText w:val="%4."/>
      <w:lvlJc w:val="left"/>
      <w:pPr>
        <w:ind w:left="2520" w:hanging="360"/>
      </w:pPr>
    </w:lvl>
    <w:lvl w:ilvl="4" w:tplc="11C03142" w:tentative="1">
      <w:start w:val="1"/>
      <w:numFmt w:val="lowerLetter"/>
      <w:lvlText w:val="%5."/>
      <w:lvlJc w:val="left"/>
      <w:pPr>
        <w:ind w:left="3240" w:hanging="360"/>
      </w:pPr>
    </w:lvl>
    <w:lvl w:ilvl="5" w:tplc="28D8400C" w:tentative="1">
      <w:start w:val="1"/>
      <w:numFmt w:val="lowerRoman"/>
      <w:lvlText w:val="%6."/>
      <w:lvlJc w:val="right"/>
      <w:pPr>
        <w:ind w:left="3960" w:hanging="180"/>
      </w:pPr>
    </w:lvl>
    <w:lvl w:ilvl="6" w:tplc="69AC8068" w:tentative="1">
      <w:start w:val="1"/>
      <w:numFmt w:val="decimal"/>
      <w:lvlText w:val="%7."/>
      <w:lvlJc w:val="left"/>
      <w:pPr>
        <w:ind w:left="4680" w:hanging="360"/>
      </w:pPr>
    </w:lvl>
    <w:lvl w:ilvl="7" w:tplc="78B42380" w:tentative="1">
      <w:start w:val="1"/>
      <w:numFmt w:val="lowerLetter"/>
      <w:lvlText w:val="%8."/>
      <w:lvlJc w:val="left"/>
      <w:pPr>
        <w:ind w:left="5400" w:hanging="360"/>
      </w:pPr>
    </w:lvl>
    <w:lvl w:ilvl="8" w:tplc="728283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ED1ACB"/>
    <w:multiLevelType w:val="hybridMultilevel"/>
    <w:tmpl w:val="CDC48EB2"/>
    <w:lvl w:ilvl="0" w:tplc="2506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EAE9FA" w:tentative="1">
      <w:start w:val="1"/>
      <w:numFmt w:val="lowerLetter"/>
      <w:lvlText w:val="%2."/>
      <w:lvlJc w:val="left"/>
      <w:pPr>
        <w:ind w:left="1440" w:hanging="360"/>
      </w:pPr>
    </w:lvl>
    <w:lvl w:ilvl="2" w:tplc="AEF4686E" w:tentative="1">
      <w:start w:val="1"/>
      <w:numFmt w:val="lowerRoman"/>
      <w:lvlText w:val="%3."/>
      <w:lvlJc w:val="right"/>
      <w:pPr>
        <w:ind w:left="2160" w:hanging="180"/>
      </w:pPr>
    </w:lvl>
    <w:lvl w:ilvl="3" w:tplc="DCE6E7E6" w:tentative="1">
      <w:start w:val="1"/>
      <w:numFmt w:val="decimal"/>
      <w:lvlText w:val="%4."/>
      <w:lvlJc w:val="left"/>
      <w:pPr>
        <w:ind w:left="2880" w:hanging="360"/>
      </w:pPr>
    </w:lvl>
    <w:lvl w:ilvl="4" w:tplc="18140C54" w:tentative="1">
      <w:start w:val="1"/>
      <w:numFmt w:val="lowerLetter"/>
      <w:lvlText w:val="%5."/>
      <w:lvlJc w:val="left"/>
      <w:pPr>
        <w:ind w:left="3600" w:hanging="360"/>
      </w:pPr>
    </w:lvl>
    <w:lvl w:ilvl="5" w:tplc="703081AA" w:tentative="1">
      <w:start w:val="1"/>
      <w:numFmt w:val="lowerRoman"/>
      <w:lvlText w:val="%6."/>
      <w:lvlJc w:val="right"/>
      <w:pPr>
        <w:ind w:left="4320" w:hanging="180"/>
      </w:pPr>
    </w:lvl>
    <w:lvl w:ilvl="6" w:tplc="B3C8879A" w:tentative="1">
      <w:start w:val="1"/>
      <w:numFmt w:val="decimal"/>
      <w:lvlText w:val="%7."/>
      <w:lvlJc w:val="left"/>
      <w:pPr>
        <w:ind w:left="5040" w:hanging="360"/>
      </w:pPr>
    </w:lvl>
    <w:lvl w:ilvl="7" w:tplc="8DAA272C" w:tentative="1">
      <w:start w:val="1"/>
      <w:numFmt w:val="lowerLetter"/>
      <w:lvlText w:val="%8."/>
      <w:lvlJc w:val="left"/>
      <w:pPr>
        <w:ind w:left="5760" w:hanging="360"/>
      </w:pPr>
    </w:lvl>
    <w:lvl w:ilvl="8" w:tplc="2320F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86057"/>
    <w:multiLevelType w:val="hybridMultilevel"/>
    <w:tmpl w:val="F882181C"/>
    <w:lvl w:ilvl="0" w:tplc="F920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A0C874" w:tentative="1">
      <w:start w:val="1"/>
      <w:numFmt w:val="lowerLetter"/>
      <w:lvlText w:val="%2."/>
      <w:lvlJc w:val="left"/>
      <w:pPr>
        <w:ind w:left="1080" w:hanging="360"/>
      </w:pPr>
    </w:lvl>
    <w:lvl w:ilvl="2" w:tplc="A5B0D4FA" w:tentative="1">
      <w:start w:val="1"/>
      <w:numFmt w:val="lowerRoman"/>
      <w:lvlText w:val="%3."/>
      <w:lvlJc w:val="right"/>
      <w:pPr>
        <w:ind w:left="1800" w:hanging="180"/>
      </w:pPr>
    </w:lvl>
    <w:lvl w:ilvl="3" w:tplc="3BCEB0C2" w:tentative="1">
      <w:start w:val="1"/>
      <w:numFmt w:val="decimal"/>
      <w:lvlText w:val="%4."/>
      <w:lvlJc w:val="left"/>
      <w:pPr>
        <w:ind w:left="2520" w:hanging="360"/>
      </w:pPr>
    </w:lvl>
    <w:lvl w:ilvl="4" w:tplc="9F0E43DA" w:tentative="1">
      <w:start w:val="1"/>
      <w:numFmt w:val="lowerLetter"/>
      <w:lvlText w:val="%5."/>
      <w:lvlJc w:val="left"/>
      <w:pPr>
        <w:ind w:left="3240" w:hanging="360"/>
      </w:pPr>
    </w:lvl>
    <w:lvl w:ilvl="5" w:tplc="8DD6B394" w:tentative="1">
      <w:start w:val="1"/>
      <w:numFmt w:val="lowerRoman"/>
      <w:lvlText w:val="%6."/>
      <w:lvlJc w:val="right"/>
      <w:pPr>
        <w:ind w:left="3960" w:hanging="180"/>
      </w:pPr>
    </w:lvl>
    <w:lvl w:ilvl="6" w:tplc="A82415EE" w:tentative="1">
      <w:start w:val="1"/>
      <w:numFmt w:val="decimal"/>
      <w:lvlText w:val="%7."/>
      <w:lvlJc w:val="left"/>
      <w:pPr>
        <w:ind w:left="4680" w:hanging="360"/>
      </w:pPr>
    </w:lvl>
    <w:lvl w:ilvl="7" w:tplc="D22098EC" w:tentative="1">
      <w:start w:val="1"/>
      <w:numFmt w:val="lowerLetter"/>
      <w:lvlText w:val="%8."/>
      <w:lvlJc w:val="left"/>
      <w:pPr>
        <w:ind w:left="5400" w:hanging="360"/>
      </w:pPr>
    </w:lvl>
    <w:lvl w:ilvl="8" w:tplc="2506AD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4"/>
    <w:rsid w:val="00004DA4"/>
    <w:rsid w:val="00007A15"/>
    <w:rsid w:val="00073CB0"/>
    <w:rsid w:val="000945FD"/>
    <w:rsid w:val="000B0645"/>
    <w:rsid w:val="000B318A"/>
    <w:rsid w:val="000E0B44"/>
    <w:rsid w:val="0012021F"/>
    <w:rsid w:val="001410CB"/>
    <w:rsid w:val="00147CF8"/>
    <w:rsid w:val="00171D81"/>
    <w:rsid w:val="001D270F"/>
    <w:rsid w:val="001D2B2C"/>
    <w:rsid w:val="00222F6C"/>
    <w:rsid w:val="00247DD5"/>
    <w:rsid w:val="00252660"/>
    <w:rsid w:val="00256DA7"/>
    <w:rsid w:val="002606C6"/>
    <w:rsid w:val="00275908"/>
    <w:rsid w:val="00284B95"/>
    <w:rsid w:val="002D3CC4"/>
    <w:rsid w:val="002E1DB0"/>
    <w:rsid w:val="0030458F"/>
    <w:rsid w:val="00306BB0"/>
    <w:rsid w:val="003508BB"/>
    <w:rsid w:val="00354677"/>
    <w:rsid w:val="00364EF4"/>
    <w:rsid w:val="00387254"/>
    <w:rsid w:val="00392D1C"/>
    <w:rsid w:val="003A3969"/>
    <w:rsid w:val="003B489C"/>
    <w:rsid w:val="003D7A1A"/>
    <w:rsid w:val="003E230D"/>
    <w:rsid w:val="00417BE1"/>
    <w:rsid w:val="004529A8"/>
    <w:rsid w:val="00483F63"/>
    <w:rsid w:val="004A133A"/>
    <w:rsid w:val="004B4E31"/>
    <w:rsid w:val="004C0526"/>
    <w:rsid w:val="00503735"/>
    <w:rsid w:val="0050610B"/>
    <w:rsid w:val="00527956"/>
    <w:rsid w:val="00540DB2"/>
    <w:rsid w:val="00564A19"/>
    <w:rsid w:val="005D1EC8"/>
    <w:rsid w:val="006075DA"/>
    <w:rsid w:val="00627C47"/>
    <w:rsid w:val="00644C03"/>
    <w:rsid w:val="006A4640"/>
    <w:rsid w:val="00764CEE"/>
    <w:rsid w:val="00773926"/>
    <w:rsid w:val="00785551"/>
    <w:rsid w:val="00792124"/>
    <w:rsid w:val="00792D41"/>
    <w:rsid w:val="00835BBE"/>
    <w:rsid w:val="008512A5"/>
    <w:rsid w:val="00857195"/>
    <w:rsid w:val="00882471"/>
    <w:rsid w:val="008865F3"/>
    <w:rsid w:val="008A2A1A"/>
    <w:rsid w:val="008D0ED3"/>
    <w:rsid w:val="008D6500"/>
    <w:rsid w:val="008F5C51"/>
    <w:rsid w:val="00900EFC"/>
    <w:rsid w:val="00902136"/>
    <w:rsid w:val="0092294C"/>
    <w:rsid w:val="0094171A"/>
    <w:rsid w:val="009466AB"/>
    <w:rsid w:val="00966E34"/>
    <w:rsid w:val="009815F4"/>
    <w:rsid w:val="009F0696"/>
    <w:rsid w:val="009F6F61"/>
    <w:rsid w:val="00A50B7C"/>
    <w:rsid w:val="00A575E7"/>
    <w:rsid w:val="00AE6101"/>
    <w:rsid w:val="00AF6060"/>
    <w:rsid w:val="00B076BE"/>
    <w:rsid w:val="00B1531A"/>
    <w:rsid w:val="00B508F1"/>
    <w:rsid w:val="00B703D2"/>
    <w:rsid w:val="00B80CA5"/>
    <w:rsid w:val="00B81269"/>
    <w:rsid w:val="00B877D2"/>
    <w:rsid w:val="00BF2EE6"/>
    <w:rsid w:val="00C45026"/>
    <w:rsid w:val="00C46E45"/>
    <w:rsid w:val="00C961B2"/>
    <w:rsid w:val="00C96891"/>
    <w:rsid w:val="00CA01F4"/>
    <w:rsid w:val="00CA0B09"/>
    <w:rsid w:val="00CA0D00"/>
    <w:rsid w:val="00CA7168"/>
    <w:rsid w:val="00CD574A"/>
    <w:rsid w:val="00CF3490"/>
    <w:rsid w:val="00D00982"/>
    <w:rsid w:val="00D1795A"/>
    <w:rsid w:val="00D46F2F"/>
    <w:rsid w:val="00D93591"/>
    <w:rsid w:val="00DD129F"/>
    <w:rsid w:val="00DD4BEE"/>
    <w:rsid w:val="00E4500B"/>
    <w:rsid w:val="00E84E7A"/>
    <w:rsid w:val="00E8527F"/>
    <w:rsid w:val="00EE0B8A"/>
    <w:rsid w:val="00F94BB8"/>
    <w:rsid w:val="00FA0589"/>
    <w:rsid w:val="00FD10F3"/>
    <w:rsid w:val="0153696A"/>
    <w:rsid w:val="0204B418"/>
    <w:rsid w:val="02234D8B"/>
    <w:rsid w:val="02D4FA47"/>
    <w:rsid w:val="034DAD04"/>
    <w:rsid w:val="0350E29C"/>
    <w:rsid w:val="03E4B9EA"/>
    <w:rsid w:val="03E5CDFA"/>
    <w:rsid w:val="042B1D53"/>
    <w:rsid w:val="04348441"/>
    <w:rsid w:val="04815C4A"/>
    <w:rsid w:val="04FD5682"/>
    <w:rsid w:val="0524A9A1"/>
    <w:rsid w:val="05ACC9F0"/>
    <w:rsid w:val="064EDF29"/>
    <w:rsid w:val="0650ADB8"/>
    <w:rsid w:val="0877C11C"/>
    <w:rsid w:val="08AE1A7D"/>
    <w:rsid w:val="09799F2B"/>
    <w:rsid w:val="0A4AFBD2"/>
    <w:rsid w:val="0BB89375"/>
    <w:rsid w:val="0BFB888D"/>
    <w:rsid w:val="0CF650F3"/>
    <w:rsid w:val="0D3C429B"/>
    <w:rsid w:val="0D8A5CF9"/>
    <w:rsid w:val="0DE81137"/>
    <w:rsid w:val="0E8ABD9D"/>
    <w:rsid w:val="0ECAD954"/>
    <w:rsid w:val="0F037344"/>
    <w:rsid w:val="0F120A50"/>
    <w:rsid w:val="0F1BE1C5"/>
    <w:rsid w:val="0F872406"/>
    <w:rsid w:val="1152F7CD"/>
    <w:rsid w:val="11B0EC82"/>
    <w:rsid w:val="11BAB6D6"/>
    <w:rsid w:val="11FD57BD"/>
    <w:rsid w:val="122518BC"/>
    <w:rsid w:val="1228F9CD"/>
    <w:rsid w:val="130534C6"/>
    <w:rsid w:val="130B37B6"/>
    <w:rsid w:val="133F0083"/>
    <w:rsid w:val="141D4678"/>
    <w:rsid w:val="145088B6"/>
    <w:rsid w:val="14FE22EA"/>
    <w:rsid w:val="16126B78"/>
    <w:rsid w:val="165CBEDD"/>
    <w:rsid w:val="16795042"/>
    <w:rsid w:val="16934A61"/>
    <w:rsid w:val="174CDAB3"/>
    <w:rsid w:val="17DDBD40"/>
    <w:rsid w:val="1850C33C"/>
    <w:rsid w:val="185C5803"/>
    <w:rsid w:val="19FA3F64"/>
    <w:rsid w:val="1A7C55C5"/>
    <w:rsid w:val="1AAA31C3"/>
    <w:rsid w:val="1B18CCA0"/>
    <w:rsid w:val="1B53C850"/>
    <w:rsid w:val="1B6202C0"/>
    <w:rsid w:val="1B7DAEF7"/>
    <w:rsid w:val="1BBAB5B0"/>
    <w:rsid w:val="1BEA20BA"/>
    <w:rsid w:val="1C6ADE16"/>
    <w:rsid w:val="1C77E11D"/>
    <w:rsid w:val="1C8F800D"/>
    <w:rsid w:val="1CED808B"/>
    <w:rsid w:val="1D0AE85E"/>
    <w:rsid w:val="1D874DB4"/>
    <w:rsid w:val="1DA5F859"/>
    <w:rsid w:val="1DBEB45C"/>
    <w:rsid w:val="1DCD8993"/>
    <w:rsid w:val="1E813A2A"/>
    <w:rsid w:val="1E91F633"/>
    <w:rsid w:val="1EA083DB"/>
    <w:rsid w:val="1F36A86D"/>
    <w:rsid w:val="1F44A380"/>
    <w:rsid w:val="1F6A9276"/>
    <w:rsid w:val="1FC99885"/>
    <w:rsid w:val="1FE081CB"/>
    <w:rsid w:val="201EB7CC"/>
    <w:rsid w:val="20A18D47"/>
    <w:rsid w:val="215D911B"/>
    <w:rsid w:val="227F9D88"/>
    <w:rsid w:val="23A54265"/>
    <w:rsid w:val="24201C85"/>
    <w:rsid w:val="24255A9A"/>
    <w:rsid w:val="253C368C"/>
    <w:rsid w:val="25889DCE"/>
    <w:rsid w:val="259447AD"/>
    <w:rsid w:val="25CD4FA9"/>
    <w:rsid w:val="263FE53D"/>
    <w:rsid w:val="265EA7FC"/>
    <w:rsid w:val="26E51EB7"/>
    <w:rsid w:val="2776697B"/>
    <w:rsid w:val="278C2474"/>
    <w:rsid w:val="298411B7"/>
    <w:rsid w:val="29EE6858"/>
    <w:rsid w:val="2A1A69FA"/>
    <w:rsid w:val="2AAAEF70"/>
    <w:rsid w:val="2ADB1A61"/>
    <w:rsid w:val="2B113A49"/>
    <w:rsid w:val="2C1A1555"/>
    <w:rsid w:val="2DDC5DB3"/>
    <w:rsid w:val="2E0E4CA3"/>
    <w:rsid w:val="2E2E569D"/>
    <w:rsid w:val="2E53816E"/>
    <w:rsid w:val="2EE9E3F8"/>
    <w:rsid w:val="2F0C81E6"/>
    <w:rsid w:val="2F3432D0"/>
    <w:rsid w:val="2F4A513B"/>
    <w:rsid w:val="2F644C42"/>
    <w:rsid w:val="2FAF6BA7"/>
    <w:rsid w:val="3024996A"/>
    <w:rsid w:val="3131E374"/>
    <w:rsid w:val="32E7873C"/>
    <w:rsid w:val="331C103F"/>
    <w:rsid w:val="33FD8D92"/>
    <w:rsid w:val="34D22389"/>
    <w:rsid w:val="35E17A6F"/>
    <w:rsid w:val="3680F5F8"/>
    <w:rsid w:val="36B60EC1"/>
    <w:rsid w:val="37091A3C"/>
    <w:rsid w:val="37A020E2"/>
    <w:rsid w:val="3802D507"/>
    <w:rsid w:val="383C4170"/>
    <w:rsid w:val="392D4D9F"/>
    <w:rsid w:val="39C93E71"/>
    <w:rsid w:val="3A598207"/>
    <w:rsid w:val="3A74E206"/>
    <w:rsid w:val="3B207949"/>
    <w:rsid w:val="3BBDC870"/>
    <w:rsid w:val="3CB6DABA"/>
    <w:rsid w:val="3D33006C"/>
    <w:rsid w:val="3DDED964"/>
    <w:rsid w:val="3DE662DC"/>
    <w:rsid w:val="3E5BAB7E"/>
    <w:rsid w:val="3E93ADF2"/>
    <w:rsid w:val="3EB681ED"/>
    <w:rsid w:val="3F0AAEEB"/>
    <w:rsid w:val="40483716"/>
    <w:rsid w:val="407F0E6D"/>
    <w:rsid w:val="40F97438"/>
    <w:rsid w:val="42AB119F"/>
    <w:rsid w:val="44628BC0"/>
    <w:rsid w:val="45442756"/>
    <w:rsid w:val="45E96610"/>
    <w:rsid w:val="45F6DA79"/>
    <w:rsid w:val="46700226"/>
    <w:rsid w:val="46B07E6A"/>
    <w:rsid w:val="46CFFCFA"/>
    <w:rsid w:val="476C3940"/>
    <w:rsid w:val="47AD88DC"/>
    <w:rsid w:val="482A78F9"/>
    <w:rsid w:val="4849F59A"/>
    <w:rsid w:val="48840AD3"/>
    <w:rsid w:val="488B9330"/>
    <w:rsid w:val="489F56B9"/>
    <w:rsid w:val="48AA264D"/>
    <w:rsid w:val="48EC0C74"/>
    <w:rsid w:val="4984DA5B"/>
    <w:rsid w:val="49E64251"/>
    <w:rsid w:val="4AB31716"/>
    <w:rsid w:val="4AB5A3F1"/>
    <w:rsid w:val="4AC7E7F9"/>
    <w:rsid w:val="4AF6E853"/>
    <w:rsid w:val="4B1ACCD9"/>
    <w:rsid w:val="4B522807"/>
    <w:rsid w:val="4B57885C"/>
    <w:rsid w:val="4B5DEA9B"/>
    <w:rsid w:val="4B5E5A4E"/>
    <w:rsid w:val="4D124E4F"/>
    <w:rsid w:val="4DA4FD79"/>
    <w:rsid w:val="4DA588A6"/>
    <w:rsid w:val="4E3F68D8"/>
    <w:rsid w:val="4E5CDB14"/>
    <w:rsid w:val="4F5A44C3"/>
    <w:rsid w:val="4F650933"/>
    <w:rsid w:val="503F9B06"/>
    <w:rsid w:val="50FABBDC"/>
    <w:rsid w:val="513CE9D5"/>
    <w:rsid w:val="5255033E"/>
    <w:rsid w:val="529DDFDB"/>
    <w:rsid w:val="52C7FEAF"/>
    <w:rsid w:val="52D95943"/>
    <w:rsid w:val="52DD7251"/>
    <w:rsid w:val="52DE0A2D"/>
    <w:rsid w:val="5312A087"/>
    <w:rsid w:val="548D62A6"/>
    <w:rsid w:val="54B87038"/>
    <w:rsid w:val="54EAAAF0"/>
    <w:rsid w:val="5515DD4A"/>
    <w:rsid w:val="55186DC7"/>
    <w:rsid w:val="562159EA"/>
    <w:rsid w:val="56A5E7D3"/>
    <w:rsid w:val="570F98E2"/>
    <w:rsid w:val="57D7C36C"/>
    <w:rsid w:val="58C00506"/>
    <w:rsid w:val="595BDF52"/>
    <w:rsid w:val="596B959F"/>
    <w:rsid w:val="5B01C331"/>
    <w:rsid w:val="5B428A21"/>
    <w:rsid w:val="5C3D12DE"/>
    <w:rsid w:val="5D2A2302"/>
    <w:rsid w:val="5D6B9CD9"/>
    <w:rsid w:val="5DC5CB04"/>
    <w:rsid w:val="5EFF2D0B"/>
    <w:rsid w:val="5F145023"/>
    <w:rsid w:val="5F45BAE2"/>
    <w:rsid w:val="5FB1F5A5"/>
    <w:rsid w:val="602283E5"/>
    <w:rsid w:val="60713B51"/>
    <w:rsid w:val="608E754E"/>
    <w:rsid w:val="61702AEC"/>
    <w:rsid w:val="61B22D64"/>
    <w:rsid w:val="61B465B4"/>
    <w:rsid w:val="61EF1D8E"/>
    <w:rsid w:val="63B82D94"/>
    <w:rsid w:val="64E31D04"/>
    <w:rsid w:val="64F6E81F"/>
    <w:rsid w:val="655AB1CC"/>
    <w:rsid w:val="655ADDBC"/>
    <w:rsid w:val="65821413"/>
    <w:rsid w:val="66A61896"/>
    <w:rsid w:val="674436BD"/>
    <w:rsid w:val="680D1C33"/>
    <w:rsid w:val="683FF4A9"/>
    <w:rsid w:val="6928F5EA"/>
    <w:rsid w:val="6959CC33"/>
    <w:rsid w:val="69DCB5F3"/>
    <w:rsid w:val="6A1F06A3"/>
    <w:rsid w:val="6A2FA854"/>
    <w:rsid w:val="6AAB05C1"/>
    <w:rsid w:val="6B00B353"/>
    <w:rsid w:val="6B0BCB55"/>
    <w:rsid w:val="6B18660C"/>
    <w:rsid w:val="6B6F3CA6"/>
    <w:rsid w:val="6C6528D4"/>
    <w:rsid w:val="6C69737D"/>
    <w:rsid w:val="6CA7AFAA"/>
    <w:rsid w:val="6CD68BFC"/>
    <w:rsid w:val="6D2636BF"/>
    <w:rsid w:val="6D400E5C"/>
    <w:rsid w:val="6D785C82"/>
    <w:rsid w:val="6D7D6B49"/>
    <w:rsid w:val="6DCB35C0"/>
    <w:rsid w:val="6DE1EABC"/>
    <w:rsid w:val="6E9EC240"/>
    <w:rsid w:val="6F98DA17"/>
    <w:rsid w:val="70071315"/>
    <w:rsid w:val="7064FF73"/>
    <w:rsid w:val="709A52BD"/>
    <w:rsid w:val="70E5E555"/>
    <w:rsid w:val="7124967D"/>
    <w:rsid w:val="714264A0"/>
    <w:rsid w:val="717D4F9F"/>
    <w:rsid w:val="71AAAFC4"/>
    <w:rsid w:val="72327AAE"/>
    <w:rsid w:val="7246390A"/>
    <w:rsid w:val="72AD9A04"/>
    <w:rsid w:val="72C5C9C1"/>
    <w:rsid w:val="73D6DCA7"/>
    <w:rsid w:val="7490754A"/>
    <w:rsid w:val="74F3BC6C"/>
    <w:rsid w:val="75212767"/>
    <w:rsid w:val="75305F0A"/>
    <w:rsid w:val="75D973F6"/>
    <w:rsid w:val="75FEAF07"/>
    <w:rsid w:val="7659DF7D"/>
    <w:rsid w:val="76D7F2B1"/>
    <w:rsid w:val="770E8063"/>
    <w:rsid w:val="7734FD7E"/>
    <w:rsid w:val="7851CD8C"/>
    <w:rsid w:val="7858F6E0"/>
    <w:rsid w:val="79684039"/>
    <w:rsid w:val="7976CEA6"/>
    <w:rsid w:val="799B6071"/>
    <w:rsid w:val="79B796FC"/>
    <w:rsid w:val="79B97F4F"/>
    <w:rsid w:val="79EE4F97"/>
    <w:rsid w:val="7A58D5D1"/>
    <w:rsid w:val="7A84051F"/>
    <w:rsid w:val="7A8C966D"/>
    <w:rsid w:val="7AB7558C"/>
    <w:rsid w:val="7ADDBE44"/>
    <w:rsid w:val="7B8F7B5C"/>
    <w:rsid w:val="7C3F1C5A"/>
    <w:rsid w:val="7C79CE97"/>
    <w:rsid w:val="7DDC903B"/>
    <w:rsid w:val="7E1A3FBE"/>
    <w:rsid w:val="7EC0D832"/>
    <w:rsid w:val="7EF6C69D"/>
    <w:rsid w:val="7F4CE011"/>
    <w:rsid w:val="7FAB518B"/>
    <w:rsid w:val="7FCA5541"/>
    <w:rsid w:val="7F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6190"/>
  <w15:chartTrackingRefBased/>
  <w15:docId w15:val="{FD37DCEB-29B4-453C-A4B6-C55E584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F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3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E230D"/>
  </w:style>
  <w:style w:type="paragraph" w:styleId="NoSpacing">
    <w:name w:val="No Spacing"/>
    <w:uiPriority w:val="1"/>
    <w:qFormat/>
    <w:rsid w:val="00B87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11152d48a8b64879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hyperlink" Target="mailto:ian.trickett@rochdale.gov.uk" TargetMode="External"/><Relationship Id="Reb839c3458eb4e0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B456706B37445B491F24C1EDA258A" ma:contentTypeVersion="4" ma:contentTypeDescription="Create a new document." ma:contentTypeScope="" ma:versionID="e4a93c43fa6d00f52eb54f854c53a329">
  <xsd:schema xmlns:xsd="http://www.w3.org/2001/XMLSchema" xmlns:xs="http://www.w3.org/2001/XMLSchema" xmlns:p="http://schemas.microsoft.com/office/2006/metadata/properties" xmlns:ns2="b458cadd-3d5e-42d0-8ffa-d8454a985931" targetNamespace="http://schemas.microsoft.com/office/2006/metadata/properties" ma:root="true" ma:fieldsID="5adb5297f9d14019cd1e93fb6b047c74" ns2:_="">
    <xsd:import namespace="b458cadd-3d5e-42d0-8ffa-d8454a9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cadd-3d5e-42d0-8ffa-d8454a9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42B0-724D-45C0-B408-F2944BDED36E}">
  <ds:schemaRefs>
    <ds:schemaRef ds:uri="http://purl.org/dc/terms/"/>
    <ds:schemaRef ds:uri="http://schemas.openxmlformats.org/package/2006/metadata/core-properties"/>
    <ds:schemaRef ds:uri="b458cadd-3d5e-42d0-8ffa-d8454a9859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BD4C92-5109-41BF-968C-850D73C0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D0371-B04C-465B-94BA-0C12EAF81FD3}"/>
</file>

<file path=customXml/itemProps4.xml><?xml version="1.0" encoding="utf-8"?>
<ds:datastoreItem xmlns:ds="http://schemas.openxmlformats.org/officeDocument/2006/customXml" ds:itemID="{BD2F7DE2-876D-4CDE-97D2-7131983F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Report</vt:lpstr>
    </vt:vector>
  </TitlesOfParts>
  <Company>Rochdale BC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Report</dc:title>
  <dc:creator>Rochdale Borough Council</dc:creator>
  <cp:lastModifiedBy>Karen Howorth</cp:lastModifiedBy>
  <cp:revision>2</cp:revision>
  <dcterms:created xsi:type="dcterms:W3CDTF">2024-11-28T09:36:00Z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summarytextplain">
    <vt:lpwstr/>
  </property>
  <property fmtid="{D5CDD505-2E9C-101B-9397-08002B2CF9AE}" pid="3" name="Background1">
    <vt:lpwstr/>
  </property>
  <property fmtid="{D5CDD505-2E9C-101B-9397-08002B2CF9AE}" pid="4" name="Background2">
    <vt:lpwstr/>
  </property>
  <property fmtid="{D5CDD505-2E9C-101B-9397-08002B2CF9AE}" pid="5" name="Background3">
    <vt:lpwstr/>
  </property>
  <property fmtid="{D5CDD505-2E9C-101B-9397-08002B2CF9AE}" pid="6" name="Background4">
    <vt:lpwstr/>
  </property>
  <property fmtid="{D5CDD505-2E9C-101B-9397-08002B2CF9AE}" pid="7" name="CommitteeName">
    <vt:lpwstr>Cabinet</vt:lpwstr>
  </property>
  <property fmtid="{D5CDD505-2E9C-101B-9397-08002B2CF9AE}" pid="8" name="FIELD_REASON_RESTRICTED">
    <vt:lpwstr>FIELD_REASON_RESTRICTED</vt:lpwstr>
  </property>
  <property fmtid="{D5CDD505-2E9C-101B-9397-08002B2CF9AE}" pid="9" name="IssueExemptionClassCode">
    <vt:lpwstr>Full</vt:lpwstr>
  </property>
  <property fmtid="{D5CDD505-2E9C-101B-9397-08002B2CF9AE}" pid="10" name="IssueExemptionClassTitle">
    <vt:lpwstr>Fully exempt</vt:lpwstr>
  </property>
  <property fmtid="{D5CDD505-2E9C-101B-9397-08002B2CF9AE}" pid="11" name="Issueexemptionexplanation">
    <vt:lpwstr>Report will include information relating to financial / business affairs</vt:lpwstr>
  </property>
  <property fmtid="{D5CDD505-2E9C-101B-9397-08002B2CF9AE}" pid="12" name="Issueexplanationexplanation">
    <vt:lpwstr>Issueexplanationexplanation</vt:lpwstr>
  </property>
  <property fmtid="{D5CDD505-2E9C-101B-9397-08002B2CF9AE}" pid="13" name="IssueIsExempt ">
    <vt:lpwstr>IssueIsExempt</vt:lpwstr>
  </property>
  <property fmtid="{D5CDD505-2E9C-101B-9397-08002B2CF9AE}" pid="14" name="IssueisforInfo">
    <vt:lpwstr>N</vt:lpwstr>
  </property>
  <property fmtid="{D5CDD505-2E9C-101B-9397-08002B2CF9AE}" pid="15" name="IssueIsKey">
    <vt:lpwstr>Y</vt:lpwstr>
  </property>
  <property fmtid="{D5CDD505-2E9C-101B-9397-08002B2CF9AE}" pid="16" name="IssueisPFP">
    <vt:lpwstr>N</vt:lpwstr>
  </property>
  <property fmtid="{D5CDD505-2E9C-101B-9397-08002B2CF9AE}" pid="17" name="IssueTemplateName">
    <vt:lpwstr>Committee Report Exec</vt:lpwstr>
  </property>
  <property fmtid="{D5CDD505-2E9C-101B-9397-08002B2CF9AE}" pid="18" name="ISSUETITLE">
    <vt:lpwstr>STAR Procurement Collaboration and Executive Joint Committee</vt:lpwstr>
  </property>
  <property fmtid="{D5CDD505-2E9C-101B-9397-08002B2CF9AE}" pid="19" name="IssueType">
    <vt:lpwstr>K</vt:lpwstr>
  </property>
  <property fmtid="{D5CDD505-2E9C-101B-9397-08002B2CF9AE}" pid="20" name="LeadDirector">
    <vt:lpwstr>Director of Corporate Services</vt:lpwstr>
  </property>
  <property fmtid="{D5CDD505-2E9C-101B-9397-08002B2CF9AE}" pid="21" name="LeadMember">
    <vt:lpwstr>Cabinet Member for Health, Cabinet Member for Finance and Corporate</vt:lpwstr>
  </property>
  <property fmtid="{D5CDD505-2E9C-101B-9397-08002B2CF9AE}" pid="22" name="LeadOfficer">
    <vt:lpwstr>Janine Jenkinson</vt:lpwstr>
  </property>
  <property fmtid="{D5CDD505-2E9C-101B-9397-08002B2CF9AE}" pid="23" name="LeadOfficerEmail">
    <vt:lpwstr>janine.jenkinson@rochdale.gov.uk</vt:lpwstr>
  </property>
  <property fmtid="{D5CDD505-2E9C-101B-9397-08002B2CF9AE}" pid="24" name="LeadOfficerPost">
    <vt:lpwstr/>
  </property>
  <property fmtid="{D5CDD505-2E9C-101B-9397-08002B2CF9AE}" pid="25" name="LeadOfficerTel">
    <vt:lpwstr/>
  </property>
  <property fmtid="{D5CDD505-2E9C-101B-9397-08002B2CF9AE}" pid="26" name="MeetingDate">
    <vt:lpwstr>Tuesday, 27 June 2023</vt:lpwstr>
  </property>
  <property fmtid="{D5CDD505-2E9C-101B-9397-08002B2CF9AE}" pid="27" name="Priority2">
    <vt:lpwstr>Priority2</vt:lpwstr>
  </property>
  <property fmtid="{D5CDD505-2E9C-101B-9397-08002B2CF9AE}" pid="28" name="Priority3">
    <vt:lpwstr>Priority3</vt:lpwstr>
  </property>
  <property fmtid="{D5CDD505-2E9C-101B-9397-08002B2CF9AE}" pid="29" name="ReasonKey">
    <vt:lpwstr>is likely to lead to significant expenditure or savings within a service area, or one that is likely to have a significant impact on the life of a community within the Borough.</vt:lpwstr>
  </property>
  <property fmtid="{D5CDD505-2E9C-101B-9397-08002B2CF9AE}" pid="30" name="ReportAuthor">
    <vt:lpwstr>ReportAuthor</vt:lpwstr>
  </property>
  <property fmtid="{D5CDD505-2E9C-101B-9397-08002B2CF9AE}" pid="31" name="ReportWriter">
    <vt:lpwstr>ReportWriter</vt:lpwstr>
  </property>
  <property fmtid="{D5CDD505-2E9C-101B-9397-08002B2CF9AE}" pid="32" name="Wards">
    <vt:lpwstr>(All Wards);</vt:lpwstr>
  </property>
  <property fmtid="{D5CDD505-2E9C-101B-9397-08002B2CF9AE}" pid="33" name="ContentTypeId">
    <vt:lpwstr>0x01010088BB456706B37445B491F24C1EDA258A</vt:lpwstr>
  </property>
  <property fmtid="{D5CDD505-2E9C-101B-9397-08002B2CF9AE}" pid="34" name="MediaServiceImageTags">
    <vt:lpwstr/>
  </property>
  <property fmtid="{D5CDD505-2E9C-101B-9397-08002B2CF9AE}" pid="35" name="IssueIsExempt">
    <vt:lpwstr>IssueIsExempt</vt:lpwstr>
  </property>
</Properties>
</file>