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E01" w:rsidRDefault="004E0380">
      <w:pPr>
        <w:rPr>
          <w:b/>
          <w:u w:val="single"/>
        </w:rPr>
      </w:pPr>
      <w:r w:rsidRPr="004E0380">
        <w:rPr>
          <w:b/>
          <w:u w:val="single"/>
        </w:rPr>
        <w:t>2021/22 Adult Social Care Fee Rate Consultation – Additional Information Requests</w:t>
      </w:r>
      <w:r>
        <w:rPr>
          <w:b/>
          <w:u w:val="single"/>
        </w:rPr>
        <w:t>/ Queries</w:t>
      </w:r>
    </w:p>
    <w:p w:rsidR="004E0380" w:rsidRDefault="004E0380" w:rsidP="004E0380">
      <w:r>
        <w:rPr>
          <w:b/>
          <w:bCs/>
        </w:rPr>
        <w:t>Home care &amp; Outreach Financial Modelling</w:t>
      </w:r>
      <w:r>
        <w:t>. Several requests were made at the consultation meetings to provide more information on the financial modelling in relation to the home care and outreach proposed rates. The table and narrative below shows some detail for people to take into account.</w:t>
      </w:r>
    </w:p>
    <w:p w:rsidR="004E0380" w:rsidRDefault="004E0380" w:rsidP="004E0380">
      <w:pPr>
        <w:rPr>
          <w:b/>
          <w:bCs/>
          <w:u w:val="single"/>
        </w:rPr>
      </w:pPr>
      <w:r>
        <w:rPr>
          <w:b/>
          <w:bCs/>
          <w:u w:val="single"/>
        </w:rPr>
        <w:t>Home Care/ Outreach</w:t>
      </w:r>
    </w:p>
    <w:p w:rsidR="004E0380" w:rsidRPr="004E0380" w:rsidRDefault="004E0380" w:rsidP="004E0380">
      <w:pPr>
        <w:rPr>
          <w:b/>
        </w:rPr>
      </w:pPr>
      <w:r w:rsidRPr="004E0380">
        <w:rPr>
          <w:b/>
        </w:rPr>
        <w:t>Q1 - Breakdown of the hourly rate requested</w:t>
      </w:r>
    </w:p>
    <w:p w:rsidR="004E0380" w:rsidRDefault="004E0380" w:rsidP="004E0380">
      <w:r>
        <w:rPr>
          <w:noProof/>
          <w:lang w:eastAsia="en-GB"/>
        </w:rPr>
        <w:drawing>
          <wp:inline distT="0" distB="0" distL="0" distR="0">
            <wp:extent cx="5702336" cy="1451285"/>
            <wp:effectExtent l="0" t="0" r="0" b="0"/>
            <wp:docPr id="3" name="Picture 3" descr="cid:image007.png@01D6C990.76C71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7.png@01D6C990.76C7134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723876" cy="1456767"/>
                    </a:xfrm>
                    <a:prstGeom prst="rect">
                      <a:avLst/>
                    </a:prstGeom>
                    <a:noFill/>
                    <a:ln>
                      <a:noFill/>
                    </a:ln>
                  </pic:spPr>
                </pic:pic>
              </a:graphicData>
            </a:graphic>
          </wp:inline>
        </w:drawing>
      </w:r>
    </w:p>
    <w:p w:rsidR="004E0380" w:rsidRDefault="004E0380" w:rsidP="004E0380">
      <w:r>
        <w:rPr>
          <w:noProof/>
          <w:lang w:eastAsia="en-GB"/>
        </w:rPr>
        <w:drawing>
          <wp:inline distT="0" distB="0" distL="0" distR="0">
            <wp:extent cx="5685083" cy="1426395"/>
            <wp:effectExtent l="0" t="0" r="0" b="2540"/>
            <wp:docPr id="2" name="Picture 2" descr="cid:image008.png@01D6C990.76C71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8.png@01D6C990.76C7134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38493" cy="1439796"/>
                    </a:xfrm>
                    <a:prstGeom prst="rect">
                      <a:avLst/>
                    </a:prstGeom>
                    <a:noFill/>
                    <a:ln>
                      <a:noFill/>
                    </a:ln>
                  </pic:spPr>
                </pic:pic>
              </a:graphicData>
            </a:graphic>
          </wp:inline>
        </w:drawing>
      </w:r>
    </w:p>
    <w:p w:rsidR="004E0380" w:rsidRDefault="004E0380" w:rsidP="004E0380">
      <w:r>
        <w:t>Pay Rate Details/ assumptions</w:t>
      </w:r>
    </w:p>
    <w:p w:rsidR="004E0380" w:rsidRDefault="004E0380" w:rsidP="004E0380">
      <w:r>
        <w:rPr>
          <w:noProof/>
          <w:lang w:eastAsia="en-GB"/>
        </w:rPr>
        <w:drawing>
          <wp:inline distT="0" distB="0" distL="0" distR="0">
            <wp:extent cx="5684652" cy="1046443"/>
            <wp:effectExtent l="0" t="0" r="0" b="1905"/>
            <wp:docPr id="1" name="Picture 1" descr="cid:image009.png@01D6C990.76C71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9.png@01D6C990.76C713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43426" cy="1057262"/>
                    </a:xfrm>
                    <a:prstGeom prst="rect">
                      <a:avLst/>
                    </a:prstGeom>
                    <a:noFill/>
                    <a:ln>
                      <a:noFill/>
                    </a:ln>
                  </pic:spPr>
                </pic:pic>
              </a:graphicData>
            </a:graphic>
          </wp:inline>
        </w:drawing>
      </w:r>
    </w:p>
    <w:p w:rsidR="004E0380" w:rsidRDefault="004E0380" w:rsidP="004E0380">
      <w:r>
        <w:t>NI Calculation is based on:-</w:t>
      </w:r>
    </w:p>
    <w:tbl>
      <w:tblPr>
        <w:tblW w:w="4537" w:type="dxa"/>
        <w:tblInd w:w="2" w:type="dxa"/>
        <w:tblCellMar>
          <w:left w:w="0" w:type="dxa"/>
          <w:right w:w="0" w:type="dxa"/>
        </w:tblCellMar>
        <w:tblLook w:val="04A0" w:firstRow="1" w:lastRow="0" w:firstColumn="1" w:lastColumn="0" w:noHBand="0" w:noVBand="1"/>
      </w:tblPr>
      <w:tblGrid>
        <w:gridCol w:w="2349"/>
        <w:gridCol w:w="982"/>
        <w:gridCol w:w="1206"/>
      </w:tblGrid>
      <w:tr w:rsidR="004E0380" w:rsidTr="00977CAF">
        <w:trPr>
          <w:trHeight w:val="304"/>
        </w:trPr>
        <w:tc>
          <w:tcPr>
            <w:tcW w:w="2349" w:type="dxa"/>
            <w:tcBorders>
              <w:top w:val="single" w:sz="8" w:space="0" w:color="auto"/>
              <w:left w:val="single" w:sz="8" w:space="0" w:color="auto"/>
              <w:bottom w:val="single" w:sz="8" w:space="0" w:color="auto"/>
              <w:right w:val="nil"/>
            </w:tcBorders>
            <w:shd w:val="clear" w:color="auto" w:fill="BFBFBF"/>
            <w:noWrap/>
            <w:tcMar>
              <w:top w:w="0" w:type="dxa"/>
              <w:left w:w="108" w:type="dxa"/>
              <w:bottom w:w="0" w:type="dxa"/>
              <w:right w:w="108" w:type="dxa"/>
            </w:tcMar>
            <w:vAlign w:val="bottom"/>
            <w:hideMark/>
          </w:tcPr>
          <w:p w:rsidR="004E0380" w:rsidRDefault="004E0380">
            <w:pPr>
              <w:rPr>
                <w:b/>
                <w:bCs/>
                <w:color w:val="000000"/>
                <w:u w:val="single"/>
                <w:lang w:eastAsia="en-GB"/>
              </w:rPr>
            </w:pPr>
            <w:r>
              <w:rPr>
                <w:b/>
                <w:bCs/>
                <w:color w:val="000000"/>
                <w:u w:val="single"/>
                <w:lang w:eastAsia="en-GB"/>
              </w:rPr>
              <w:t>NI Calculation</w:t>
            </w:r>
          </w:p>
        </w:tc>
        <w:tc>
          <w:tcPr>
            <w:tcW w:w="982" w:type="dxa"/>
            <w:tcBorders>
              <w:top w:val="single" w:sz="8" w:space="0" w:color="auto"/>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4E0380" w:rsidRDefault="004E0380">
            <w:pPr>
              <w:jc w:val="right"/>
              <w:rPr>
                <w:b/>
                <w:bCs/>
                <w:color w:val="000000"/>
                <w:lang w:eastAsia="en-GB"/>
              </w:rPr>
            </w:pPr>
            <w:r>
              <w:rPr>
                <w:b/>
                <w:bCs/>
                <w:color w:val="000000"/>
                <w:lang w:eastAsia="en-GB"/>
              </w:rPr>
              <w:t>20/21</w:t>
            </w:r>
          </w:p>
        </w:tc>
        <w:tc>
          <w:tcPr>
            <w:tcW w:w="1206" w:type="dxa"/>
            <w:tcBorders>
              <w:top w:val="single" w:sz="8" w:space="0" w:color="auto"/>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4E0380" w:rsidRDefault="004E0380">
            <w:pPr>
              <w:jc w:val="right"/>
              <w:rPr>
                <w:b/>
                <w:bCs/>
                <w:color w:val="000000"/>
                <w:lang w:eastAsia="en-GB"/>
              </w:rPr>
            </w:pPr>
            <w:r>
              <w:rPr>
                <w:b/>
                <w:bCs/>
                <w:color w:val="000000"/>
                <w:lang w:eastAsia="en-GB"/>
              </w:rPr>
              <w:t>21/22</w:t>
            </w:r>
          </w:p>
        </w:tc>
      </w:tr>
      <w:tr w:rsidR="004E0380" w:rsidTr="00977CAF">
        <w:trPr>
          <w:trHeight w:val="289"/>
        </w:trPr>
        <w:tc>
          <w:tcPr>
            <w:tcW w:w="2349" w:type="dxa"/>
            <w:tcBorders>
              <w:top w:val="nil"/>
              <w:left w:val="single" w:sz="8" w:space="0" w:color="auto"/>
              <w:bottom w:val="nil"/>
              <w:right w:val="nil"/>
            </w:tcBorders>
            <w:noWrap/>
            <w:tcMar>
              <w:top w:w="0" w:type="dxa"/>
              <w:left w:w="108" w:type="dxa"/>
              <w:bottom w:w="0" w:type="dxa"/>
              <w:right w:w="108" w:type="dxa"/>
            </w:tcMar>
            <w:vAlign w:val="bottom"/>
            <w:hideMark/>
          </w:tcPr>
          <w:p w:rsidR="004E0380" w:rsidRDefault="004E0380">
            <w:pPr>
              <w:rPr>
                <w:color w:val="000000"/>
                <w:lang w:eastAsia="en-GB"/>
              </w:rPr>
            </w:pPr>
            <w:r>
              <w:rPr>
                <w:color w:val="000000"/>
                <w:lang w:eastAsia="en-GB"/>
              </w:rPr>
              <w:t>Hourly rate</w:t>
            </w:r>
          </w:p>
        </w:tc>
        <w:tc>
          <w:tcPr>
            <w:tcW w:w="982"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4E0380" w:rsidRDefault="004E0380">
            <w:pPr>
              <w:jc w:val="right"/>
              <w:rPr>
                <w:color w:val="000000"/>
                <w:lang w:eastAsia="en-GB"/>
              </w:rPr>
            </w:pPr>
            <w:r>
              <w:rPr>
                <w:color w:val="000000"/>
                <w:lang w:eastAsia="en-GB"/>
              </w:rPr>
              <w:t>£8.90</w:t>
            </w:r>
          </w:p>
        </w:tc>
        <w:tc>
          <w:tcPr>
            <w:tcW w:w="1206" w:type="dxa"/>
            <w:tcBorders>
              <w:top w:val="nil"/>
              <w:left w:val="nil"/>
              <w:bottom w:val="nil"/>
              <w:right w:val="single" w:sz="8" w:space="0" w:color="auto"/>
            </w:tcBorders>
            <w:noWrap/>
            <w:tcMar>
              <w:top w:w="0" w:type="dxa"/>
              <w:left w:w="108" w:type="dxa"/>
              <w:bottom w:w="0" w:type="dxa"/>
              <w:right w:w="108" w:type="dxa"/>
            </w:tcMar>
            <w:vAlign w:val="bottom"/>
            <w:hideMark/>
          </w:tcPr>
          <w:p w:rsidR="004E0380" w:rsidRDefault="004E0380">
            <w:pPr>
              <w:jc w:val="right"/>
              <w:rPr>
                <w:color w:val="000000"/>
                <w:lang w:eastAsia="en-GB"/>
              </w:rPr>
            </w:pPr>
            <w:r>
              <w:rPr>
                <w:color w:val="000000"/>
                <w:lang w:eastAsia="en-GB"/>
              </w:rPr>
              <w:t>£9.50</w:t>
            </w:r>
          </w:p>
        </w:tc>
      </w:tr>
      <w:tr w:rsidR="004E0380" w:rsidTr="00977CAF">
        <w:trPr>
          <w:trHeight w:val="289"/>
        </w:trPr>
        <w:tc>
          <w:tcPr>
            <w:tcW w:w="2349" w:type="dxa"/>
            <w:tcBorders>
              <w:top w:val="nil"/>
              <w:left w:val="single" w:sz="8" w:space="0" w:color="auto"/>
              <w:bottom w:val="nil"/>
              <w:right w:val="nil"/>
            </w:tcBorders>
            <w:noWrap/>
            <w:tcMar>
              <w:top w:w="0" w:type="dxa"/>
              <w:left w:w="108" w:type="dxa"/>
              <w:bottom w:w="0" w:type="dxa"/>
              <w:right w:w="108" w:type="dxa"/>
            </w:tcMar>
            <w:vAlign w:val="bottom"/>
            <w:hideMark/>
          </w:tcPr>
          <w:p w:rsidR="004E0380" w:rsidRDefault="004E0380">
            <w:pPr>
              <w:rPr>
                <w:color w:val="000000"/>
                <w:lang w:eastAsia="en-GB"/>
              </w:rPr>
            </w:pPr>
            <w:r>
              <w:rPr>
                <w:color w:val="000000"/>
                <w:lang w:eastAsia="en-GB"/>
              </w:rPr>
              <w:t>Weekly Salary</w:t>
            </w:r>
          </w:p>
        </w:tc>
        <w:tc>
          <w:tcPr>
            <w:tcW w:w="982"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4E0380" w:rsidRDefault="004E0380">
            <w:pPr>
              <w:jc w:val="right"/>
              <w:rPr>
                <w:color w:val="000000"/>
                <w:lang w:eastAsia="en-GB"/>
              </w:rPr>
            </w:pPr>
            <w:r>
              <w:rPr>
                <w:color w:val="000000"/>
                <w:lang w:eastAsia="en-GB"/>
              </w:rPr>
              <w:t>£329.30</w:t>
            </w:r>
          </w:p>
        </w:tc>
        <w:tc>
          <w:tcPr>
            <w:tcW w:w="1206" w:type="dxa"/>
            <w:tcBorders>
              <w:top w:val="nil"/>
              <w:left w:val="nil"/>
              <w:bottom w:val="nil"/>
              <w:right w:val="single" w:sz="8" w:space="0" w:color="auto"/>
            </w:tcBorders>
            <w:noWrap/>
            <w:tcMar>
              <w:top w:w="0" w:type="dxa"/>
              <w:left w:w="108" w:type="dxa"/>
              <w:bottom w:w="0" w:type="dxa"/>
              <w:right w:w="108" w:type="dxa"/>
            </w:tcMar>
            <w:vAlign w:val="bottom"/>
            <w:hideMark/>
          </w:tcPr>
          <w:p w:rsidR="004E0380" w:rsidRDefault="004E0380">
            <w:pPr>
              <w:jc w:val="right"/>
              <w:rPr>
                <w:color w:val="000000"/>
                <w:lang w:eastAsia="en-GB"/>
              </w:rPr>
            </w:pPr>
            <w:r>
              <w:rPr>
                <w:color w:val="000000"/>
                <w:lang w:eastAsia="en-GB"/>
              </w:rPr>
              <w:t>£351.50</w:t>
            </w:r>
          </w:p>
        </w:tc>
      </w:tr>
      <w:tr w:rsidR="004E0380" w:rsidTr="00977CAF">
        <w:trPr>
          <w:trHeight w:val="289"/>
        </w:trPr>
        <w:tc>
          <w:tcPr>
            <w:tcW w:w="2349" w:type="dxa"/>
            <w:tcBorders>
              <w:top w:val="nil"/>
              <w:left w:val="single" w:sz="8" w:space="0" w:color="auto"/>
              <w:bottom w:val="nil"/>
              <w:right w:val="nil"/>
            </w:tcBorders>
            <w:noWrap/>
            <w:tcMar>
              <w:top w:w="0" w:type="dxa"/>
              <w:left w:w="108" w:type="dxa"/>
              <w:bottom w:w="0" w:type="dxa"/>
              <w:right w:w="108" w:type="dxa"/>
            </w:tcMar>
            <w:vAlign w:val="bottom"/>
            <w:hideMark/>
          </w:tcPr>
          <w:p w:rsidR="004E0380" w:rsidRDefault="004E0380">
            <w:pPr>
              <w:rPr>
                <w:color w:val="000000"/>
                <w:lang w:eastAsia="en-GB"/>
              </w:rPr>
            </w:pPr>
            <w:r>
              <w:rPr>
                <w:color w:val="000000"/>
                <w:lang w:eastAsia="en-GB"/>
              </w:rPr>
              <w:t>NI Threshold 20/21</w:t>
            </w:r>
          </w:p>
        </w:tc>
        <w:tc>
          <w:tcPr>
            <w:tcW w:w="982"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4E0380" w:rsidRDefault="004E0380">
            <w:pPr>
              <w:jc w:val="right"/>
              <w:rPr>
                <w:color w:val="000000"/>
                <w:lang w:eastAsia="en-GB"/>
              </w:rPr>
            </w:pPr>
            <w:r>
              <w:rPr>
                <w:color w:val="000000"/>
                <w:lang w:eastAsia="en-GB"/>
              </w:rPr>
              <w:t>£169.01</w:t>
            </w:r>
          </w:p>
        </w:tc>
        <w:tc>
          <w:tcPr>
            <w:tcW w:w="1206" w:type="dxa"/>
            <w:tcBorders>
              <w:top w:val="nil"/>
              <w:left w:val="nil"/>
              <w:bottom w:val="nil"/>
              <w:right w:val="single" w:sz="8" w:space="0" w:color="auto"/>
            </w:tcBorders>
            <w:noWrap/>
            <w:tcMar>
              <w:top w:w="0" w:type="dxa"/>
              <w:left w:w="108" w:type="dxa"/>
              <w:bottom w:w="0" w:type="dxa"/>
              <w:right w:w="108" w:type="dxa"/>
            </w:tcMar>
            <w:vAlign w:val="bottom"/>
            <w:hideMark/>
          </w:tcPr>
          <w:p w:rsidR="004E0380" w:rsidRDefault="004E0380">
            <w:pPr>
              <w:jc w:val="right"/>
              <w:rPr>
                <w:color w:val="000000"/>
                <w:lang w:eastAsia="en-GB"/>
              </w:rPr>
            </w:pPr>
            <w:r>
              <w:rPr>
                <w:color w:val="000000"/>
                <w:lang w:eastAsia="en-GB"/>
              </w:rPr>
              <w:t>£169.01</w:t>
            </w:r>
          </w:p>
        </w:tc>
      </w:tr>
      <w:tr w:rsidR="004E0380" w:rsidTr="00977CAF">
        <w:trPr>
          <w:trHeight w:val="289"/>
        </w:trPr>
        <w:tc>
          <w:tcPr>
            <w:tcW w:w="2349" w:type="dxa"/>
            <w:tcBorders>
              <w:top w:val="nil"/>
              <w:left w:val="single" w:sz="8" w:space="0" w:color="auto"/>
              <w:bottom w:val="nil"/>
              <w:right w:val="nil"/>
            </w:tcBorders>
            <w:noWrap/>
            <w:tcMar>
              <w:top w:w="0" w:type="dxa"/>
              <w:left w:w="108" w:type="dxa"/>
              <w:bottom w:w="0" w:type="dxa"/>
              <w:right w:w="108" w:type="dxa"/>
            </w:tcMar>
            <w:vAlign w:val="bottom"/>
            <w:hideMark/>
          </w:tcPr>
          <w:p w:rsidR="004E0380" w:rsidRDefault="004E0380">
            <w:pPr>
              <w:rPr>
                <w:color w:val="000000"/>
                <w:lang w:eastAsia="en-GB"/>
              </w:rPr>
            </w:pPr>
            <w:r>
              <w:rPr>
                <w:color w:val="000000"/>
                <w:lang w:eastAsia="en-GB"/>
              </w:rPr>
              <w:t>Pay subject to NI</w:t>
            </w:r>
          </w:p>
        </w:tc>
        <w:tc>
          <w:tcPr>
            <w:tcW w:w="982"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4E0380" w:rsidRDefault="004E0380">
            <w:pPr>
              <w:jc w:val="right"/>
              <w:rPr>
                <w:b/>
                <w:bCs/>
                <w:color w:val="000000"/>
                <w:lang w:eastAsia="en-GB"/>
              </w:rPr>
            </w:pPr>
            <w:r>
              <w:rPr>
                <w:b/>
                <w:bCs/>
                <w:color w:val="000000"/>
                <w:lang w:eastAsia="en-GB"/>
              </w:rPr>
              <w:t>£160.29</w:t>
            </w:r>
          </w:p>
        </w:tc>
        <w:tc>
          <w:tcPr>
            <w:tcW w:w="1206" w:type="dxa"/>
            <w:tcBorders>
              <w:top w:val="nil"/>
              <w:left w:val="nil"/>
              <w:bottom w:val="nil"/>
              <w:right w:val="single" w:sz="8" w:space="0" w:color="auto"/>
            </w:tcBorders>
            <w:noWrap/>
            <w:tcMar>
              <w:top w:w="0" w:type="dxa"/>
              <w:left w:w="108" w:type="dxa"/>
              <w:bottom w:w="0" w:type="dxa"/>
              <w:right w:w="108" w:type="dxa"/>
            </w:tcMar>
            <w:vAlign w:val="bottom"/>
            <w:hideMark/>
          </w:tcPr>
          <w:p w:rsidR="004E0380" w:rsidRDefault="004E0380">
            <w:pPr>
              <w:jc w:val="right"/>
              <w:rPr>
                <w:b/>
                <w:bCs/>
                <w:color w:val="000000"/>
                <w:lang w:eastAsia="en-GB"/>
              </w:rPr>
            </w:pPr>
            <w:r>
              <w:rPr>
                <w:b/>
                <w:bCs/>
                <w:color w:val="000000"/>
                <w:lang w:eastAsia="en-GB"/>
              </w:rPr>
              <w:t>£182.49</w:t>
            </w:r>
          </w:p>
        </w:tc>
      </w:tr>
      <w:tr w:rsidR="004E0380" w:rsidTr="00977CAF">
        <w:trPr>
          <w:trHeight w:val="304"/>
        </w:trPr>
        <w:tc>
          <w:tcPr>
            <w:tcW w:w="2349" w:type="dxa"/>
            <w:tcBorders>
              <w:top w:val="nil"/>
              <w:left w:val="single" w:sz="8" w:space="0" w:color="auto"/>
              <w:bottom w:val="nil"/>
              <w:right w:val="nil"/>
            </w:tcBorders>
            <w:noWrap/>
            <w:tcMar>
              <w:top w:w="0" w:type="dxa"/>
              <w:left w:w="108" w:type="dxa"/>
              <w:bottom w:w="0" w:type="dxa"/>
              <w:right w:w="108" w:type="dxa"/>
            </w:tcMar>
            <w:vAlign w:val="bottom"/>
            <w:hideMark/>
          </w:tcPr>
          <w:p w:rsidR="004E0380" w:rsidRDefault="004E0380">
            <w:pPr>
              <w:rPr>
                <w:color w:val="000000"/>
                <w:lang w:eastAsia="en-GB"/>
              </w:rPr>
            </w:pPr>
            <w:r>
              <w:rPr>
                <w:color w:val="000000"/>
                <w:lang w:eastAsia="en-GB"/>
              </w:rPr>
              <w:t>NI at 13.8%</w:t>
            </w:r>
          </w:p>
        </w:tc>
        <w:tc>
          <w:tcPr>
            <w:tcW w:w="982"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4E0380" w:rsidRDefault="004E0380">
            <w:pPr>
              <w:jc w:val="right"/>
              <w:rPr>
                <w:color w:val="000000"/>
                <w:lang w:eastAsia="en-GB"/>
              </w:rPr>
            </w:pPr>
            <w:r>
              <w:rPr>
                <w:color w:val="000000"/>
                <w:lang w:eastAsia="en-GB"/>
              </w:rPr>
              <w:t>£22.12</w:t>
            </w:r>
          </w:p>
        </w:tc>
        <w:tc>
          <w:tcPr>
            <w:tcW w:w="1206" w:type="dxa"/>
            <w:tcBorders>
              <w:top w:val="nil"/>
              <w:left w:val="nil"/>
              <w:bottom w:val="nil"/>
              <w:right w:val="single" w:sz="8" w:space="0" w:color="auto"/>
            </w:tcBorders>
            <w:noWrap/>
            <w:tcMar>
              <w:top w:w="0" w:type="dxa"/>
              <w:left w:w="108" w:type="dxa"/>
              <w:bottom w:w="0" w:type="dxa"/>
              <w:right w:w="108" w:type="dxa"/>
            </w:tcMar>
            <w:vAlign w:val="bottom"/>
            <w:hideMark/>
          </w:tcPr>
          <w:p w:rsidR="004E0380" w:rsidRDefault="004E0380">
            <w:pPr>
              <w:jc w:val="right"/>
              <w:rPr>
                <w:color w:val="000000"/>
                <w:lang w:eastAsia="en-GB"/>
              </w:rPr>
            </w:pPr>
            <w:r>
              <w:rPr>
                <w:color w:val="000000"/>
                <w:lang w:eastAsia="en-GB"/>
              </w:rPr>
              <w:t>£25.18</w:t>
            </w:r>
          </w:p>
        </w:tc>
      </w:tr>
      <w:tr w:rsidR="004E0380" w:rsidTr="00977CAF">
        <w:trPr>
          <w:trHeight w:val="265"/>
        </w:trPr>
        <w:tc>
          <w:tcPr>
            <w:tcW w:w="2349" w:type="dxa"/>
            <w:tcBorders>
              <w:top w:val="single" w:sz="8" w:space="0" w:color="auto"/>
              <w:left w:val="single" w:sz="8" w:space="0" w:color="auto"/>
              <w:bottom w:val="single" w:sz="8" w:space="0" w:color="auto"/>
              <w:right w:val="nil"/>
            </w:tcBorders>
            <w:shd w:val="clear" w:color="auto" w:fill="BFBFBF"/>
            <w:noWrap/>
            <w:tcMar>
              <w:top w:w="0" w:type="dxa"/>
              <w:left w:w="108" w:type="dxa"/>
              <w:bottom w:w="0" w:type="dxa"/>
              <w:right w:w="108" w:type="dxa"/>
            </w:tcMar>
            <w:vAlign w:val="bottom"/>
            <w:hideMark/>
          </w:tcPr>
          <w:p w:rsidR="004E0380" w:rsidRDefault="004E0380">
            <w:pPr>
              <w:rPr>
                <w:b/>
                <w:bCs/>
                <w:color w:val="000000"/>
                <w:lang w:eastAsia="en-GB"/>
              </w:rPr>
            </w:pPr>
            <w:r>
              <w:rPr>
                <w:b/>
                <w:bCs/>
                <w:color w:val="000000"/>
                <w:lang w:eastAsia="en-GB"/>
              </w:rPr>
              <w:t>NI as % of Basic Pay</w:t>
            </w:r>
          </w:p>
        </w:tc>
        <w:tc>
          <w:tcPr>
            <w:tcW w:w="982" w:type="dxa"/>
            <w:tcBorders>
              <w:top w:val="single" w:sz="8" w:space="0" w:color="auto"/>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4E0380" w:rsidRDefault="004E0380">
            <w:pPr>
              <w:jc w:val="right"/>
              <w:rPr>
                <w:b/>
                <w:bCs/>
                <w:color w:val="000000"/>
                <w:lang w:eastAsia="en-GB"/>
              </w:rPr>
            </w:pPr>
            <w:r>
              <w:rPr>
                <w:b/>
                <w:bCs/>
                <w:color w:val="000000"/>
                <w:lang w:eastAsia="en-GB"/>
              </w:rPr>
              <w:t>6.7%</w:t>
            </w:r>
          </w:p>
        </w:tc>
        <w:tc>
          <w:tcPr>
            <w:tcW w:w="1206" w:type="dxa"/>
            <w:tcBorders>
              <w:top w:val="single" w:sz="8" w:space="0" w:color="auto"/>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4E0380" w:rsidRDefault="004E0380">
            <w:pPr>
              <w:jc w:val="right"/>
              <w:rPr>
                <w:b/>
                <w:bCs/>
                <w:color w:val="000000"/>
                <w:lang w:eastAsia="en-GB"/>
              </w:rPr>
            </w:pPr>
            <w:r>
              <w:rPr>
                <w:b/>
                <w:bCs/>
                <w:color w:val="000000"/>
                <w:lang w:eastAsia="en-GB"/>
              </w:rPr>
              <w:t>7.2%</w:t>
            </w:r>
          </w:p>
        </w:tc>
      </w:tr>
    </w:tbl>
    <w:p w:rsidR="004E0380" w:rsidRDefault="004E0380" w:rsidP="004E0380">
      <w:pPr>
        <w:rPr>
          <w:rFonts w:ascii="Calibri" w:hAnsi="Calibri" w:cs="Calibri"/>
        </w:rPr>
      </w:pPr>
    </w:p>
    <w:p w:rsidR="004E0380" w:rsidRDefault="004E0380" w:rsidP="004E0380">
      <w:r>
        <w:t>The rates don’t include an assumed increase in the NI threshold, which would reduce the NI contribution rate.</w:t>
      </w:r>
    </w:p>
    <w:p w:rsidR="004E0380" w:rsidRDefault="004E0380" w:rsidP="004E0380"/>
    <w:p w:rsidR="004E0380" w:rsidRPr="004E0380" w:rsidRDefault="004E0380" w:rsidP="004E0380">
      <w:pPr>
        <w:rPr>
          <w:b/>
        </w:rPr>
      </w:pPr>
      <w:r w:rsidRPr="004E0380">
        <w:rPr>
          <w:b/>
        </w:rPr>
        <w:t>Q2 – How have management costs been determined?</w:t>
      </w:r>
    </w:p>
    <w:p w:rsidR="004E0380" w:rsidRDefault="004E0380" w:rsidP="004E0380">
      <w:r>
        <w:t>The management cost has been determined based on the contribution required per hour for an average sized home care provider to fund their management team. The uplift in management cost will allow providers to maintain a differential in pay rates, although at a reduced % difference.</w:t>
      </w:r>
    </w:p>
    <w:p w:rsidR="004E0380" w:rsidRDefault="004E0380" w:rsidP="004E0380">
      <w:r>
        <w:t>The rate breakdown for Supported Living is below:-</w:t>
      </w:r>
    </w:p>
    <w:p w:rsidR="004E0380" w:rsidRDefault="004E0380" w:rsidP="004E0380"/>
    <w:p w:rsidR="004E0380" w:rsidRPr="004E0380" w:rsidRDefault="004E0380" w:rsidP="004E0380">
      <w:pPr>
        <w:rPr>
          <w:b/>
          <w:u w:val="single"/>
        </w:rPr>
      </w:pPr>
      <w:r w:rsidRPr="004E0380">
        <w:rPr>
          <w:b/>
          <w:u w:val="single"/>
        </w:rPr>
        <w:t>Supported Living</w:t>
      </w:r>
    </w:p>
    <w:p w:rsidR="004E0380" w:rsidRPr="004E0380" w:rsidRDefault="004E0380" w:rsidP="004E0380">
      <w:pPr>
        <w:rPr>
          <w:b/>
        </w:rPr>
      </w:pPr>
      <w:r w:rsidRPr="004E0380">
        <w:rPr>
          <w:b/>
        </w:rPr>
        <w:t>Q1 - Breakdown of rate requested</w:t>
      </w:r>
    </w:p>
    <w:p w:rsidR="004E0380" w:rsidRDefault="004E0380" w:rsidP="004E0380">
      <w:r>
        <w:rPr>
          <w:noProof/>
          <w:lang w:eastAsia="en-GB"/>
        </w:rPr>
        <w:drawing>
          <wp:inline distT="0" distB="0" distL="0" distR="0">
            <wp:extent cx="6228200" cy="1259294"/>
            <wp:effectExtent l="0" t="0" r="1270" b="0"/>
            <wp:docPr id="6" name="Picture 6" descr="cid:image010.png@01D6C993.549673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10.png@01D6C993.549673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315376" cy="1276920"/>
                    </a:xfrm>
                    <a:prstGeom prst="rect">
                      <a:avLst/>
                    </a:prstGeom>
                    <a:noFill/>
                    <a:ln>
                      <a:noFill/>
                    </a:ln>
                  </pic:spPr>
                </pic:pic>
              </a:graphicData>
            </a:graphic>
          </wp:inline>
        </w:drawing>
      </w:r>
    </w:p>
    <w:p w:rsidR="004E0380" w:rsidRDefault="004E0380" w:rsidP="004E0380">
      <w:r>
        <w:t>Supported Living On costs are shown below:-</w:t>
      </w:r>
    </w:p>
    <w:p w:rsidR="004E0380" w:rsidRDefault="004E0380" w:rsidP="004E0380">
      <w:r>
        <w:rPr>
          <w:noProof/>
          <w:lang w:eastAsia="en-GB"/>
        </w:rPr>
        <w:drawing>
          <wp:inline distT="0" distB="0" distL="0" distR="0">
            <wp:extent cx="6374765" cy="1173480"/>
            <wp:effectExtent l="0" t="0" r="6985" b="7620"/>
            <wp:docPr id="5" name="Picture 5" descr="cid:image011.png@01D6C993.549673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11.png@01D6C993.549673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374765" cy="1173480"/>
                    </a:xfrm>
                    <a:prstGeom prst="rect">
                      <a:avLst/>
                    </a:prstGeom>
                    <a:noFill/>
                    <a:ln>
                      <a:noFill/>
                    </a:ln>
                  </pic:spPr>
                </pic:pic>
              </a:graphicData>
            </a:graphic>
          </wp:inline>
        </w:drawing>
      </w:r>
    </w:p>
    <w:p w:rsidR="004E0380" w:rsidRDefault="004E0380" w:rsidP="004E0380">
      <w:r>
        <w:t>NI rate calculations are shown below:-</w:t>
      </w:r>
    </w:p>
    <w:p w:rsidR="004E0380" w:rsidRDefault="004E0380" w:rsidP="004E0380">
      <w:r>
        <w:rPr>
          <w:noProof/>
          <w:lang w:eastAsia="en-GB"/>
        </w:rPr>
        <w:drawing>
          <wp:inline distT="0" distB="0" distL="0" distR="0">
            <wp:extent cx="2734310" cy="1371600"/>
            <wp:effectExtent l="0" t="0" r="8890" b="0"/>
            <wp:docPr id="4" name="Picture 4" descr="cid:image012.png@01D6C993.549673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12.png@01D6C993.549673D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734310" cy="1371600"/>
                    </a:xfrm>
                    <a:prstGeom prst="rect">
                      <a:avLst/>
                    </a:prstGeom>
                    <a:noFill/>
                    <a:ln>
                      <a:noFill/>
                    </a:ln>
                  </pic:spPr>
                </pic:pic>
              </a:graphicData>
            </a:graphic>
          </wp:inline>
        </w:drawing>
      </w:r>
    </w:p>
    <w:p w:rsidR="004E0380" w:rsidRDefault="004E0380" w:rsidP="004E0380">
      <w:r>
        <w:t>The rates don’t include an assumed increase in the NI threshold, which would reduce the NI contribution rate.</w:t>
      </w:r>
    </w:p>
    <w:p w:rsidR="00977CAF" w:rsidRPr="00977CAF" w:rsidRDefault="00977CAF" w:rsidP="004E0380">
      <w:pPr>
        <w:rPr>
          <w:b/>
        </w:rPr>
      </w:pPr>
      <w:r w:rsidRPr="00977CAF">
        <w:rPr>
          <w:b/>
        </w:rPr>
        <w:t>Q2 – Is the complex rate being removed</w:t>
      </w:r>
      <w:r>
        <w:rPr>
          <w:b/>
        </w:rPr>
        <w:t>?</w:t>
      </w:r>
    </w:p>
    <w:p w:rsidR="00977CAF" w:rsidRDefault="00977CAF" w:rsidP="004E0380">
      <w:r>
        <w:t>No, the complex rate will remain £1 above the standard rate</w:t>
      </w:r>
      <w:bookmarkStart w:id="0" w:name="_GoBack"/>
      <w:bookmarkEnd w:id="0"/>
    </w:p>
    <w:sectPr w:rsidR="00977CAF" w:rsidSect="004E0380">
      <w:pgSz w:w="11906" w:h="16838"/>
      <w:pgMar w:top="993"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380"/>
    <w:rsid w:val="00346BC0"/>
    <w:rsid w:val="004E0380"/>
    <w:rsid w:val="005B4DC2"/>
    <w:rsid w:val="00977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5CF72"/>
  <w15:chartTrackingRefBased/>
  <w15:docId w15:val="{2F8F1557-6FB5-4544-A7EC-B6E3C1B9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0087">
      <w:bodyDiv w:val="1"/>
      <w:marLeft w:val="0"/>
      <w:marRight w:val="0"/>
      <w:marTop w:val="0"/>
      <w:marBottom w:val="0"/>
      <w:divBdr>
        <w:top w:val="none" w:sz="0" w:space="0" w:color="auto"/>
        <w:left w:val="none" w:sz="0" w:space="0" w:color="auto"/>
        <w:bottom w:val="none" w:sz="0" w:space="0" w:color="auto"/>
        <w:right w:val="none" w:sz="0" w:space="0" w:color="auto"/>
      </w:divBdr>
    </w:div>
    <w:div w:id="120471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cid:image011.png@01D6C993.549673D0" TargetMode="External"/><Relationship Id="rId3" Type="http://schemas.openxmlformats.org/officeDocument/2006/relationships/webSettings" Target="webSettings.xml"/><Relationship Id="rId7" Type="http://schemas.openxmlformats.org/officeDocument/2006/relationships/image" Target="cid:image008.png@01D6C990.76C71340"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cid:image010.png@01D6C993.549673D0" TargetMode="External"/><Relationship Id="rId5" Type="http://schemas.openxmlformats.org/officeDocument/2006/relationships/image" Target="cid:image007.png@01D6C990.76C71340" TargetMode="External"/><Relationship Id="rId15" Type="http://schemas.openxmlformats.org/officeDocument/2006/relationships/image" Target="cid:image012.png@01D6C993.549673D0" TargetMode="External"/><Relationship Id="rId10"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image" Target="cid:image009.png@01D6C990.76C71340"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234</Words>
  <Characters>1336</Characters>
  <Application>Microsoft Office Word</Application>
  <DocSecurity>0</DocSecurity>
  <Lines>11</Lines>
  <Paragraphs>3</Paragraphs>
  <ScaleCrop>false</ScaleCrop>
  <Company>Rochdale BC</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Davies L</dc:creator>
  <cp:keywords/>
  <dc:description/>
  <cp:lastModifiedBy>Gareth Davies L</cp:lastModifiedBy>
  <cp:revision>2</cp:revision>
  <dcterms:created xsi:type="dcterms:W3CDTF">2020-12-09T14:17:00Z</dcterms:created>
  <dcterms:modified xsi:type="dcterms:W3CDTF">2020-12-09T14:27:00Z</dcterms:modified>
</cp:coreProperties>
</file>